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6001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600138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72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Dunn Rick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SATELLOGIC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210 DELBURG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Satellogic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SATL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06/20/2026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725"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31"/>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DAVIDSON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NC</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28036</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06/20/2026</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0000FF"/>
                <w:w w:val="99"/>
              </w:rPr>
              <w:t>6,610</w:t>
            </w:r>
          </w:p>
        </w:tc>
        <w:tc>
          <w:tcPr>
            <w:tcW w:w="40" w:type="dxa"/>
            <w:vAlign w:val="bottom"/>
          </w:tcPr>
          <w:p>
            <w:pPr>
              <w:spacing w:after="0"/>
              <w:rPr>
                <w:sz w:val="22"/>
                <w:szCs w:val="22"/>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30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000FF"/>
              </w:rPr>
              <w:t>234,638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06/20/2026</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20" w:type="dxa"/>
            <w:vAlign w:val="bottom"/>
            <w:gridSpan w:val="2"/>
          </w:tcPr>
          <w:p>
            <w:pPr>
              <w:jc w:val="center"/>
              <w:ind w:left="95"/>
              <w:spacing w:after="0"/>
              <w:rPr>
                <w:sz w:val="20"/>
                <w:szCs w:val="20"/>
                <w:color w:val="auto"/>
              </w:rPr>
            </w:pPr>
            <w:r>
              <w:rPr>
                <w:rFonts w:ascii="Times New Roman" w:cs="Times New Roman" w:eastAsia="Times New Roman" w:hAnsi="Times New Roman"/>
                <w:sz w:val="17"/>
                <w:szCs w:val="17"/>
                <w:color w:val="0000FF"/>
                <w:w w:val="98"/>
              </w:rPr>
              <w:t>16,708</w:t>
            </w:r>
          </w:p>
        </w:tc>
        <w:tc>
          <w:tcPr>
            <w:tcW w:w="6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30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000FF"/>
              </w:rPr>
              <w:t>251,346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06/20/2026</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0000FF"/>
                <w:w w:val="99"/>
              </w:rPr>
              <w:t>7,581</w:t>
            </w:r>
          </w:p>
        </w:tc>
        <w:tc>
          <w:tcPr>
            <w:tcW w:w="40" w:type="dxa"/>
            <w:vAlign w:val="bottom"/>
          </w:tcPr>
          <w:p>
            <w:pPr>
              <w:spacing w:after="0"/>
              <w:rPr>
                <w:sz w:val="22"/>
                <w:szCs w:val="22"/>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30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000FF"/>
              </w:rPr>
              <w:t>258,927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15"/>
                <w:szCs w:val="15"/>
                <w:color w:val="auto"/>
              </w:rPr>
            </w:pPr>
          </w:p>
        </w:tc>
        <w:tc>
          <w:tcPr>
            <w:tcW w:w="600" w:type="dxa"/>
            <w:vAlign w:val="bottom"/>
          </w:tcPr>
          <w:p>
            <w:pPr>
              <w:jc w:val="center"/>
              <w:ind w:right="91"/>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0"/>
              <w:spacing w:after="0"/>
              <w:rPr>
                <w:sz w:val="20"/>
                <w:szCs w:val="20"/>
                <w:color w:val="auto"/>
              </w:rPr>
            </w:pPr>
            <w:r>
              <w:rPr>
                <w:rFonts w:ascii="Times New Roman" w:cs="Times New Roman" w:eastAsia="Times New Roman" w:hAnsi="Times New Roman"/>
                <w:sz w:val="17"/>
                <w:szCs w:val="17"/>
                <w:color w:val="0000FF"/>
              </w:rPr>
              <w:t>9,237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5"/>
                <w:szCs w:val="5"/>
                <w:color w:val="auto"/>
              </w:rPr>
            </w:pP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06/20/2026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vMerge w:val="restart"/>
          </w:tcPr>
          <w:p>
            <w:pPr>
              <w:jc w:val="center"/>
              <w:ind w:left="281"/>
              <w:spacing w:after="0" w:line="142" w:lineRule="exact"/>
              <w:rPr>
                <w:sz w:val="20"/>
                <w:szCs w:val="20"/>
                <w:color w:val="auto"/>
              </w:rPr>
            </w:pPr>
            <w:r>
              <w:rPr>
                <w:rFonts w:ascii="Times New Roman" w:cs="Times New Roman" w:eastAsia="Times New Roman" w:hAnsi="Times New Roman"/>
                <w:sz w:val="13"/>
                <w:szCs w:val="13"/>
                <w:color w:val="0000FF"/>
              </w:rPr>
              <w:t>9,237</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gridSpan w:val="2"/>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40"/>
              <w:spacing w:after="0" w:line="142" w:lineRule="exact"/>
              <w:rPr>
                <w:sz w:val="20"/>
                <w:szCs w:val="20"/>
                <w:color w:val="auto"/>
              </w:rPr>
            </w:pPr>
            <w:r>
              <w:rPr>
                <w:rFonts w:ascii="Times New Roman" w:cs="Times New Roman" w:eastAsia="Times New Roman" w:hAnsi="Times New Roman"/>
                <w:sz w:val="13"/>
                <w:szCs w:val="13"/>
                <w:color w:val="0000FF"/>
                <w:w w:val="94"/>
              </w:rPr>
              <w:t>36,957</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restart"/>
          </w:tcPr>
          <w:p>
            <w:pPr>
              <w:jc w:val="center"/>
              <w:ind w:right="71"/>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Pr>
          <w:p>
            <w:pPr>
              <w:spacing w:after="0"/>
              <w:rPr>
                <w:sz w:val="15"/>
                <w:szCs w:val="15"/>
                <w:color w:val="auto"/>
              </w:rPr>
            </w:pPr>
          </w:p>
        </w:tc>
        <w:tc>
          <w:tcPr>
            <w:tcW w:w="600" w:type="dxa"/>
            <w:vAlign w:val="bottom"/>
          </w:tcPr>
          <w:p>
            <w:pPr>
              <w:jc w:val="center"/>
              <w:ind w:right="91"/>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23,349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5"/>
                <w:szCs w:val="5"/>
                <w:color w:val="auto"/>
              </w:rPr>
            </w:pP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06/20/2026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vMerge w:val="restart"/>
          </w:tcPr>
          <w:p>
            <w:pPr>
              <w:jc w:val="center"/>
              <w:ind w:left="281"/>
              <w:spacing w:after="0" w:line="142" w:lineRule="exact"/>
              <w:rPr>
                <w:sz w:val="20"/>
                <w:szCs w:val="20"/>
                <w:color w:val="auto"/>
              </w:rPr>
            </w:pPr>
            <w:r>
              <w:rPr>
                <w:rFonts w:ascii="Times New Roman" w:cs="Times New Roman" w:eastAsia="Times New Roman" w:hAnsi="Times New Roman"/>
                <w:sz w:val="13"/>
                <w:szCs w:val="13"/>
                <w:color w:val="0000FF"/>
                <w:w w:val="94"/>
              </w:rPr>
              <w:t>23,349</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gridSpan w:val="2"/>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ind w:right="22"/>
              <w:spacing w:after="0" w:line="142" w:lineRule="exact"/>
              <w:rPr>
                <w:sz w:val="20"/>
                <w:szCs w:val="20"/>
                <w:color w:val="auto"/>
              </w:rPr>
            </w:pPr>
            <w:r>
              <w:rPr>
                <w:rFonts w:ascii="Times New Roman" w:cs="Times New Roman" w:eastAsia="Times New Roman" w:hAnsi="Times New Roman"/>
                <w:sz w:val="13"/>
                <w:szCs w:val="13"/>
                <w:color w:val="0000FF"/>
                <w:w w:val="99"/>
              </w:rPr>
              <w:t>163,450</w:t>
            </w: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restart"/>
          </w:tcPr>
          <w:p>
            <w:pPr>
              <w:jc w:val="center"/>
              <w:ind w:right="71"/>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40" w:type="dxa"/>
            <w:vAlign w:val="bottom"/>
          </w:tcPr>
          <w:p>
            <w:pPr>
              <w:spacing w:after="0"/>
              <w:rPr>
                <w:sz w:val="15"/>
                <w:szCs w:val="15"/>
                <w:color w:val="auto"/>
              </w:rPr>
            </w:pPr>
          </w:p>
        </w:tc>
        <w:tc>
          <w:tcPr>
            <w:tcW w:w="600" w:type="dxa"/>
            <w:vAlign w:val="bottom"/>
          </w:tcPr>
          <w:p>
            <w:pPr>
              <w:jc w:val="center"/>
              <w:ind w:right="91"/>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10,594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5"/>
                <w:szCs w:val="5"/>
                <w:color w:val="auto"/>
              </w:rPr>
            </w:pP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06/20/2026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vMerge w:val="restart"/>
          </w:tcPr>
          <w:p>
            <w:pPr>
              <w:jc w:val="center"/>
              <w:ind w:left="281"/>
              <w:spacing w:after="0" w:line="142" w:lineRule="exact"/>
              <w:rPr>
                <w:sz w:val="20"/>
                <w:szCs w:val="20"/>
                <w:color w:val="auto"/>
              </w:rPr>
            </w:pPr>
            <w:r>
              <w:rPr>
                <w:rFonts w:ascii="Times New Roman" w:cs="Times New Roman" w:eastAsia="Times New Roman" w:hAnsi="Times New Roman"/>
                <w:sz w:val="13"/>
                <w:szCs w:val="13"/>
                <w:color w:val="0000FF"/>
                <w:w w:val="94"/>
              </w:rPr>
              <w:t>10,594</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gridSpan w:val="2"/>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ind w:right="22"/>
              <w:spacing w:after="0" w:line="142" w:lineRule="exact"/>
              <w:rPr>
                <w:sz w:val="20"/>
                <w:szCs w:val="20"/>
                <w:color w:val="auto"/>
              </w:rPr>
            </w:pPr>
            <w:r>
              <w:rPr>
                <w:rFonts w:ascii="Times New Roman" w:cs="Times New Roman" w:eastAsia="Times New Roman" w:hAnsi="Times New Roman"/>
                <w:sz w:val="13"/>
                <w:szCs w:val="13"/>
                <w:color w:val="0000FF"/>
                <w:w w:val="99"/>
              </w:rPr>
              <w:t>127,119</w:t>
            </w: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restart"/>
          </w:tcPr>
          <w:p>
            <w:pPr>
              <w:jc w:val="center"/>
              <w:ind w:right="71"/>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-2717165</wp:posOffset>
            </wp:positionV>
            <wp:extent cx="29210" cy="2722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7222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August 9. 2023, Mr. Dunn was granted 147,801 RSUs. These RSUs vest in equal quarterly installments from September 20, 2023 through June 20, 2027, generally subject to continued employment through each vesting date. On June 20, 2026, 9,237 shares vested of which 2,627 shares were withheld in order to satisfy Mr. Dunn's obligations for payment of withholding and other taxes due in connection therewith.</w:t>
      </w:r>
    </w:p>
    <w:p>
      <w:pPr>
        <w:spacing w:after="0" w:line="25" w:lineRule="exact"/>
        <w:rPr>
          <w:rFonts w:ascii="Times New Roman" w:cs="Times New Roman" w:eastAsia="Times New Roman" w:hAnsi="Times New Roman"/>
          <w:sz w:val="13"/>
          <w:szCs w:val="13"/>
          <w:color w:val="008000"/>
        </w:rPr>
      </w:pPr>
    </w:p>
    <w:p>
      <w:pPr>
        <w:ind w:left="40" w:right="200" w:firstLine="2"/>
        <w:spacing w:after="0" w:line="291"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June 7, 2024, Mr. Dunn was granted 373,595 RSUs. These RSUs vest in equal quarterly installments from June 20, 2024 through March 20, 2028, generally subject to continued employment through each vesting date. On June 20, 2026, 23,349 shares vested of which 6,641 shares were withheld in order to satisfy Mr. Dunn's obligations for payment of withholding and other taxes due in connection therewith.</w:t>
      </w:r>
    </w:p>
    <w:p>
      <w:pPr>
        <w:spacing w:after="0" w:line="1" w:lineRule="exact"/>
        <w:rPr>
          <w:rFonts w:ascii="Times New Roman" w:cs="Times New Roman" w:eastAsia="Times New Roman" w:hAnsi="Times New Roman"/>
          <w:sz w:val="12"/>
          <w:szCs w:val="12"/>
          <w:color w:val="008000"/>
        </w:rPr>
      </w:pPr>
    </w:p>
    <w:p>
      <w:pPr>
        <w:ind w:left="40" w:right="220" w:firstLine="2"/>
        <w:spacing w:after="0" w:line="291"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June 23, 2025, Mr. Dunn was granted 169,492 RSUs. These RSUs vest in equal quarterly installments from June 23, 2025 through June 20, 2029, generally subject to continued employment through each vesting date. On June 20, 2026, 10,594 shares vested of which 3,013 shares were withheld in order to satisfy Mr. Dunn's obligations for payment of withholding and other taxes due in connection therewith.</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Rick Dunn</w:t>
            </w:r>
          </w:p>
        </w:tc>
        <w:tc>
          <w:tcPr>
            <w:tcW w:w="126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06/23/2026</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72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9159" TargetMode="External"/><Relationship Id="rId14" Type="http://schemas.openxmlformats.org/officeDocument/2006/relationships/hyperlink" Target="http://www.sec.gov/cgi-bin/browse-edgar?action=getcompany&amp;CIK=00018743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2026-06-23T19:16:20Z</dcterms:created>
  <dcterms:modified xsi:type="dcterms:W3CDTF">2026-06-23T19:16:20Z</dcterms:modified>
</cp:coreProperties>
</file>