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Wang Theodore Glass</w:t>
              </w:r>
            </w:hyperlink>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gridSpan w:val="7"/>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Satellogic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SATL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gridSpan w:val="6"/>
            <w:vMerge w:val="continue"/>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2"/>
                <w:szCs w:val="1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Borders>
              <w:top w:val="single" w:sz="8" w:color="2C2C2C"/>
            </w:tcBorders>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Borders>
              <w:top w:val="single" w:sz="8" w:color="2C2C2C"/>
            </w:tcBorders>
          </w:tcPr>
          <w:p>
            <w:pPr>
              <w:spacing w:after="0"/>
              <w:rPr>
                <w:sz w:val="2"/>
                <w:szCs w:val="2"/>
                <w:color w:val="auto"/>
              </w:rPr>
            </w:pPr>
          </w:p>
        </w:tc>
        <w:tc>
          <w:tcPr>
            <w:tcW w:w="220" w:type="dxa"/>
            <w:vAlign w:val="bottom"/>
            <w:tcBorders>
              <w:top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1"/>
                <w:szCs w:val="11"/>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20" w:type="dxa"/>
            <w:vAlign w:val="bottom"/>
            <w:gridSpan w:val="9"/>
            <w:vMerge w:val="continue"/>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140"/>
              <w:spacing w:after="0" w:line="129"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ind w:left="220"/>
              <w:spacing w:after="0" w:line="129"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300" w:type="dxa"/>
            <w:vAlign w:val="bottom"/>
            <w:gridSpan w:val="5"/>
            <w:vMerge w:val="restart"/>
          </w:tcPr>
          <w:p>
            <w:pPr>
              <w:ind w:left="240"/>
              <w:spacing w:after="0"/>
              <w:rPr>
                <w:sz w:val="20"/>
                <w:szCs w:val="20"/>
                <w:color w:val="auto"/>
              </w:rPr>
            </w:pPr>
            <w:r>
              <w:rPr>
                <w:rFonts w:ascii="Times New Roman" w:cs="Times New Roman" w:eastAsia="Times New Roman" w:hAnsi="Times New Roman"/>
                <w:sz w:val="17"/>
                <w:szCs w:val="17"/>
                <w:color w:val="0000FF"/>
              </w:rPr>
              <w:t>06/11/2026</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SATELLOGIC INC.</w:t>
            </w: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210 DELBURG STREET</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0" w:type="dxa"/>
            <w:vAlign w:val="bottom"/>
            <w:gridSpan w:val="10"/>
            <w:vMerge w:val="continue"/>
          </w:tcPr>
          <w:p>
            <w:pPr>
              <w:spacing w:after="0"/>
              <w:rPr>
                <w:sz w:val="6"/>
                <w:szCs w:val="6"/>
                <w:color w:val="auto"/>
              </w:rPr>
            </w:pPr>
          </w:p>
        </w:tc>
        <w:tc>
          <w:tcPr>
            <w:tcW w:w="22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DAVIDSON</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NC</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28036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6800" w:type="dxa"/>
            <w:vAlign w:val="bottom"/>
            <w:tcBorders>
              <w:top w:val="single" w:sz="8" w:color="2C2C2C"/>
            </w:tcBorders>
            <w:gridSpan w:val="19"/>
          </w:tcPr>
          <w:p>
            <w:pPr>
              <w:ind w:left="3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2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5"/>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5"/>
          </w:tcPr>
          <w:p>
            <w:pPr>
              <w:spacing w:after="0"/>
              <w:rPr>
                <w:sz w:val="7"/>
                <w:szCs w:val="7"/>
                <w:color w:val="auto"/>
              </w:rPr>
            </w:pPr>
          </w:p>
        </w:tc>
        <w:tc>
          <w:tcPr>
            <w:tcW w:w="120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6800" w:type="dxa"/>
            <w:vAlign w:val="bottom"/>
            <w:tcBorders>
              <w:top w:val="single" w:sz="8" w:color="2C2C2C"/>
            </w:tcBorders>
            <w:gridSpan w:val="19"/>
          </w:tcPr>
          <w:p>
            <w:pPr>
              <w:ind w:left="5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60" w:type="dxa"/>
            <w:vAlign w:val="bottom"/>
            <w:gridSpan w:val="16"/>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32,665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00" w:type="dxa"/>
            <w:vAlign w:val="bottom"/>
          </w:tcPr>
          <w:p>
            <w:pPr>
              <w:spacing w:after="0"/>
              <w:rPr>
                <w:sz w:val="5"/>
                <w:szCs w:val="5"/>
                <w:color w:val="auto"/>
              </w:rPr>
            </w:pPr>
          </w:p>
        </w:tc>
        <w:tc>
          <w:tcPr>
            <w:tcW w:w="1020" w:type="dxa"/>
            <w:vAlign w:val="bottom"/>
            <w:gridSpan w:val="2"/>
            <w:vMerge w:val="restart"/>
          </w:tcPr>
          <w:p>
            <w:pPr>
              <w:jc w:val="right"/>
              <w:ind w:right="156"/>
              <w:spacing w:after="0" w:line="142" w:lineRule="exact"/>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32,665</w:t>
            </w: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32,665</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11, 2026, Mr. Wang was granted 32,665 RSUs, all of which will vest on May 31, 2027 subject to Mr. Wang's continued service through such date. Grantee elected to defer receipt of shares until May 10, 2028.</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Rick Dunn, Attorney-in-fact </w:t>
      </w:r>
      <w:r>
        <w:rPr>
          <w:rFonts w:ascii="Times New Roman" w:cs="Times New Roman" w:eastAsia="Times New Roman" w:hAnsi="Times New Roman"/>
          <w:sz w:val="33"/>
          <w:szCs w:val="33"/>
          <w:color w:val="0000FF"/>
          <w:vertAlign w:val="subscript"/>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Ted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581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8166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7373" TargetMode="External"/><Relationship Id="rId14" Type="http://schemas.openxmlformats.org/officeDocument/2006/relationships/hyperlink" Target="http://www.sec.gov/cgi-bin/browse-edgar?action=getcompany&amp;CIK=00018743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2026-07-01T18:41:21Z</dcterms:created>
  <dcterms:modified xsi:type="dcterms:W3CDTF">2026-07-01T18:41:21Z</dcterms:modified>
</cp:coreProperties>
</file>