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0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Kargieman Emiliano</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SATELLOGIC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 DELBURG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Satellogic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SATL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DAVIDSON</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28036</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7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5"/>
              </w:rPr>
              <w:t>Disposed Of (D) (Instr. 3, 4 and</w:t>
            </w:r>
          </w:p>
        </w:tc>
        <w:tc>
          <w:tcPr>
            <w:tcW w:w="1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35"/>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06/20/2026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4"/>
              </w:rPr>
              <w:t>20,064</w:t>
            </w:r>
          </w:p>
        </w:tc>
        <w:tc>
          <w:tcPr>
            <w:tcW w:w="60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gridSpan w:val="3"/>
          </w:tcPr>
          <w:p>
            <w:pPr>
              <w:ind w:left="380"/>
              <w:spacing w:after="0"/>
              <w:rPr>
                <w:sz w:val="20"/>
                <w:szCs w:val="20"/>
                <w:color w:val="auto"/>
              </w:rPr>
            </w:pPr>
            <w:r>
              <w:rPr>
                <w:rFonts w:ascii="Times New Roman" w:cs="Times New Roman" w:eastAsia="Times New Roman" w:hAnsi="Times New Roman"/>
                <w:sz w:val="17"/>
                <w:szCs w:val="17"/>
                <w:color w:val="0000FF"/>
              </w:rPr>
              <w:t>1,383,687</w:t>
            </w:r>
          </w:p>
        </w:tc>
        <w:tc>
          <w:tcPr>
            <w:tcW w:w="30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7"/>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10"/>
          </w:tcPr>
          <w:p>
            <w:pPr>
              <w:jc w:val="right"/>
              <w:ind w:right="3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15"/>
                <w:szCs w:val="15"/>
                <w:color w:val="auto"/>
              </w:rPr>
            </w:pPr>
          </w:p>
        </w:tc>
        <w:tc>
          <w:tcPr>
            <w:tcW w:w="600" w:type="dxa"/>
            <w:vAlign w:val="bottom"/>
          </w:tcPr>
          <w:p>
            <w:pPr>
              <w:jc w:val="center"/>
              <w:ind w:right="94"/>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26,484</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06/20/2026</w:t>
            </w:r>
          </w:p>
        </w:tc>
        <w:tc>
          <w:tcPr>
            <w:tcW w:w="1140" w:type="dxa"/>
            <w:vAlign w:val="bottom"/>
          </w:tcPr>
          <w:p>
            <w:pPr>
              <w:spacing w:after="0"/>
              <w:rPr>
                <w:sz w:val="5"/>
                <w:szCs w:val="5"/>
                <w:color w:val="auto"/>
              </w:rPr>
            </w:pPr>
          </w:p>
        </w:tc>
        <w:tc>
          <w:tcPr>
            <w:tcW w:w="72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vMerge w:val="restart"/>
          </w:tcPr>
          <w:p>
            <w:pPr>
              <w:ind w:left="460"/>
              <w:spacing w:after="0" w:line="142" w:lineRule="exact"/>
              <w:rPr>
                <w:sz w:val="20"/>
                <w:szCs w:val="20"/>
                <w:color w:val="auto"/>
              </w:rPr>
            </w:pPr>
            <w:r>
              <w:rPr>
                <w:rFonts w:ascii="Times New Roman" w:cs="Times New Roman" w:eastAsia="Times New Roman" w:hAnsi="Times New Roman"/>
                <w:sz w:val="13"/>
                <w:szCs w:val="13"/>
                <w:color w:val="0000FF"/>
              </w:rPr>
              <w:t>26,484</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780" w:type="dxa"/>
            <w:vAlign w:val="bottom"/>
            <w:gridSpan w:val="2"/>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line="142" w:lineRule="exact"/>
              <w:rPr>
                <w:sz w:val="20"/>
                <w:szCs w:val="20"/>
                <w:color w:val="auto"/>
              </w:rPr>
            </w:pPr>
            <w:r>
              <w:rPr>
                <w:rFonts w:ascii="Times New Roman" w:cs="Times New Roman" w:eastAsia="Times New Roman" w:hAnsi="Times New Roman"/>
                <w:sz w:val="13"/>
                <w:szCs w:val="13"/>
                <w:color w:val="0000FF"/>
              </w:rPr>
              <w:t>317,796</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74"/>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23, 2025, Mr. Kargieman was granted 423,729 RSUs. These RSUs vest in equal quarterly installments from June 23, 2025 through June 20, 2029, generally subject to continued employment through each vesting date. On June 20, 2026, 26,484 shares vested of which 6,420 shares were withheld in order to satisfy Mr. Kargieman's obligations for payment of withholding and other taxes due in connection therewith.</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Rick Dunn, Attorney-in-fact </w:t>
      </w:r>
      <w:r>
        <w:rPr>
          <w:rFonts w:ascii="Times New Roman" w:cs="Times New Roman" w:eastAsia="Times New Roman" w:hAnsi="Times New Roman"/>
          <w:sz w:val="33"/>
          <w:szCs w:val="33"/>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79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for Emiliano Kargieman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0394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3949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97580" TargetMode="External"/><Relationship Id="rId14" Type="http://schemas.openxmlformats.org/officeDocument/2006/relationships/hyperlink" Target="http://www.sec.gov/cgi-bin/browse-edgar?action=getcompany&amp;CIK=00018743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2026-06-23T19:16:15Z</dcterms:created>
  <dcterms:modified xsi:type="dcterms:W3CDTF">2026-06-23T19:16:15Z</dcterms:modified>
</cp:coreProperties>
</file>