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19, 2026</w:t>
      </w:r>
    </w:p>
    <w:p>
      <w:pPr>
        <w:spacing w:after="0" w:line="17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41910</wp:posOffset>
            </wp:positionV>
            <wp:extent cx="71628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S-3</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SATELLOGIC INC.</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9" w:lineRule="exact"/>
        <w:rPr>
          <w:sz w:val="24"/>
          <w:szCs w:val="24"/>
          <w:color w:val="auto"/>
        </w:rPr>
      </w:pPr>
    </w:p>
    <w:tbl>
      <w:tblPr>
        <w:tblLayout w:type="fixed"/>
        <w:tblInd w:w="1100" w:type="dxa"/>
        <w:tblCellMar>
          <w:top w:w="0" w:type="dxa"/>
          <w:left w:w="0" w:type="dxa"/>
          <w:bottom w:w="0" w:type="dxa"/>
          <w:right w:w="0" w:type="dxa"/>
        </w:tblCellMar>
      </w:tblPr>
      <w:tr>
        <w:trPr>
          <w:trHeight w:val="170"/>
        </w:trPr>
        <w:tc>
          <w:tcPr>
            <w:tcW w:w="2680" w:type="dxa"/>
            <w:vAlign w:val="bottom"/>
          </w:tcPr>
          <w:p>
            <w:pPr>
              <w:jc w:val="center"/>
              <w:ind w:right="97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8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6770</w:t>
            </w:r>
          </w:p>
        </w:tc>
        <w:tc>
          <w:tcPr>
            <w:tcW w:w="2420" w:type="dxa"/>
            <w:vAlign w:val="bottom"/>
          </w:tcPr>
          <w:p>
            <w:pPr>
              <w:jc w:val="center"/>
              <w:ind w:left="1050"/>
              <w:spacing w:after="0"/>
              <w:rPr>
                <w:sz w:val="20"/>
                <w:szCs w:val="20"/>
                <w:color w:val="auto"/>
              </w:rPr>
            </w:pPr>
            <w:r>
              <w:rPr>
                <w:rFonts w:ascii="Times New Roman" w:cs="Times New Roman" w:eastAsia="Times New Roman" w:hAnsi="Times New Roman"/>
                <w:sz w:val="14"/>
                <w:szCs w:val="14"/>
                <w:b w:val="1"/>
                <w:bCs w:val="1"/>
                <w:color w:val="auto"/>
                <w:w w:val="97"/>
              </w:rPr>
              <w:t>98-1845974</w:t>
            </w:r>
          </w:p>
        </w:tc>
      </w:tr>
      <w:tr>
        <w:trPr>
          <w:trHeight w:val="168"/>
        </w:trPr>
        <w:tc>
          <w:tcPr>
            <w:tcW w:w="2680" w:type="dxa"/>
            <w:vAlign w:val="bottom"/>
          </w:tcPr>
          <w:p>
            <w:pPr>
              <w:jc w:val="center"/>
              <w:ind w:right="970"/>
              <w:spacing w:after="0"/>
              <w:rPr>
                <w:sz w:val="20"/>
                <w:szCs w:val="20"/>
                <w:color w:val="auto"/>
              </w:rPr>
            </w:pPr>
            <w:r>
              <w:rPr>
                <w:rFonts w:ascii="Times New Roman" w:cs="Times New Roman" w:eastAsia="Times New Roman" w:hAnsi="Times New Roman"/>
                <w:sz w:val="14"/>
                <w:szCs w:val="14"/>
                <w:color w:val="auto"/>
                <w:w w:val="99"/>
              </w:rPr>
              <w:t>(Jurisdiction of Incorporation</w:t>
            </w:r>
          </w:p>
        </w:tc>
        <w:tc>
          <w:tcPr>
            <w:tcW w:w="38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242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83"/>
        </w:trPr>
        <w:tc>
          <w:tcPr>
            <w:tcW w:w="2680" w:type="dxa"/>
            <w:vAlign w:val="bottom"/>
          </w:tcPr>
          <w:p>
            <w:pPr>
              <w:jc w:val="center"/>
              <w:ind w:right="970"/>
              <w:spacing w:after="0"/>
              <w:rPr>
                <w:sz w:val="20"/>
                <w:szCs w:val="20"/>
                <w:color w:val="auto"/>
              </w:rPr>
            </w:pPr>
            <w:r>
              <w:rPr>
                <w:rFonts w:ascii="Times New Roman" w:cs="Times New Roman" w:eastAsia="Times New Roman" w:hAnsi="Times New Roman"/>
                <w:sz w:val="14"/>
                <w:szCs w:val="14"/>
                <w:color w:val="auto"/>
                <w:w w:val="98"/>
              </w:rPr>
              <w:t>or Organization)</w:t>
            </w:r>
          </w:p>
        </w:tc>
        <w:tc>
          <w:tcPr>
            <w:tcW w:w="38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42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210 Delburg Street</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Davidson, NC 28036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(704) 802-2041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Rick Dunn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Satellogic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210 Delburg Street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Davidson, NC 28036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(704) 802-2041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24"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Zack Davis</w:t>
      </w:r>
    </w:p>
    <w:p>
      <w:pPr>
        <w:spacing w:after="0" w:line="7"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King &amp; Spalding LLP</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1180 Peachtree Street, NE</w:t>
      </w:r>
    </w:p>
    <w:p>
      <w:pPr>
        <w:spacing w:after="0" w:line="7"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Suite 1600</w:t>
      </w:r>
    </w:p>
    <w:p>
      <w:pPr>
        <w:spacing w:after="0" w:line="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Atlanta, GA 30309</w:t>
      </w:r>
    </w:p>
    <w:p>
      <w:pPr>
        <w:spacing w:after="0" w:line="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(404) 572-4600</w:t>
      </w:r>
    </w:p>
    <w:p>
      <w:pPr>
        <w:spacing w:after="0" w:line="16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As soon as practicable after this registration statement becomes effective.</w:t>
      </w:r>
    </w:p>
    <w:p>
      <w:pPr>
        <w:spacing w:after="0" w:line="139"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66"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95" w:lineRule="exact"/>
        <w:rPr>
          <w:sz w:val="24"/>
          <w:szCs w:val="24"/>
          <w:color w:val="auto"/>
        </w:rPr>
      </w:pPr>
    </w:p>
    <w:p>
      <w:pPr>
        <w:ind w:firstLine="505"/>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32" w:lineRule="exact"/>
        <w:rPr>
          <w:sz w:val="24"/>
          <w:szCs w:val="24"/>
          <w:color w:val="auto"/>
        </w:rPr>
      </w:pPr>
    </w:p>
    <w:p>
      <w:pPr>
        <w:ind w:firstLine="505"/>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32" w:lineRule="exact"/>
        <w:rPr>
          <w:sz w:val="24"/>
          <w:szCs w:val="24"/>
          <w:color w:val="auto"/>
        </w:rPr>
      </w:pPr>
    </w:p>
    <w:p>
      <w:pPr>
        <w:ind w:firstLine="505"/>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32" w:lineRule="exact"/>
        <w:rPr>
          <w:sz w:val="24"/>
          <w:szCs w:val="24"/>
          <w:color w:val="auto"/>
        </w:rPr>
      </w:pPr>
    </w:p>
    <w:p>
      <w:pPr>
        <w:ind w:firstLine="505"/>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264160</wp:posOffset>
            </wp:positionV>
            <wp:extent cx="71628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375" w:right="319" w:bottom="1440" w:gutter="0" w:footer="0" w:header="0"/>
        </w:sectPr>
      </w:pPr>
    </w:p>
    <w:bookmarkStart w:id="1" w:name="page2"/>
    <w:bookmarkEnd w:id="1"/>
    <w:p>
      <w:pPr>
        <w:ind w:firstLine="505"/>
        <w:spacing w:after="0" w:line="27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486" w:right="319" w:bottom="1440" w:gutter="0" w:footer="0" w:header="0"/>
        </w:sectPr>
      </w:pPr>
    </w:p>
    <w:p>
      <w:pPr>
        <w:spacing w:after="0" w:line="110"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177" w:lineRule="exact"/>
        <w:rPr>
          <w:sz w:val="20"/>
          <w:szCs w:val="20"/>
          <w:color w:val="auto"/>
        </w:rPr>
      </w:pPr>
    </w:p>
    <w:p>
      <w:pPr>
        <w:sectPr>
          <w:pgSz w:w="11900" w:h="16838" w:orient="portrait"/>
          <w:cols w:equalWidth="0" w:num="2">
            <w:col w:w="4480" w:space="720"/>
            <w:col w:w="6080"/>
          </w:cols>
          <w:pgMar w:left="300" w:top="486" w:right="319" w:bottom="1440" w:gutter="0" w:footer="0" w:header="0"/>
          <w:type w:val="continuous"/>
        </w:sect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177" w:lineRule="exact"/>
        <w:rPr>
          <w:sz w:val="20"/>
          <w:szCs w:val="20"/>
          <w:color w:val="auto"/>
        </w:rPr>
      </w:pPr>
    </w:p>
    <w:p>
      <w:pPr>
        <w:sectPr>
          <w:pgSz w:w="11900" w:h="16838" w:orient="portrait"/>
          <w:cols w:equalWidth="0" w:num="2">
            <w:col w:w="4480" w:space="720"/>
            <w:col w:w="6080"/>
          </w:cols>
          <w:pgMar w:left="300" w:top="486" w:right="319" w:bottom="1440" w:gutter="0" w:footer="0" w:header="0"/>
          <w:type w:val="continuous"/>
        </w:sectPr>
      </w:pPr>
    </w:p>
    <w:p>
      <w:pPr>
        <w:ind w:left="5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280"/>
          </w:cols>
          <w:pgMar w:left="300" w:top="486" w:right="319" w:bottom="1440" w:gutter="0" w:footer="0" w:header="0"/>
          <w:type w:val="continuous"/>
        </w:sectPr>
      </w:pPr>
    </w:p>
    <w:p>
      <w:pPr>
        <w:spacing w:after="0" w:line="217" w:lineRule="exact"/>
        <w:rPr>
          <w:sz w:val="20"/>
          <w:szCs w:val="20"/>
          <w:color w:val="auto"/>
        </w:rPr>
      </w:pPr>
    </w:p>
    <w:p>
      <w:pPr>
        <w:jc w:val="both"/>
        <w:ind w:firstLine="505"/>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30"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273050</wp:posOffset>
            </wp:positionV>
            <wp:extent cx="716280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type w:val="continuous"/>
        </w:sectPr>
      </w:pPr>
    </w:p>
    <w:bookmarkStart w:id="2" w:name="page3"/>
    <w:bookmarkEnd w:id="2"/>
    <w:p>
      <w:pPr>
        <w:jc w:val="both"/>
        <w:ind w:firstLine="505"/>
        <w:spacing w:after="0" w:line="286" w:lineRule="auto"/>
        <w:rPr>
          <w:sz w:val="20"/>
          <w:szCs w:val="20"/>
          <w:color w:val="auto"/>
        </w:rPr>
      </w:pPr>
      <w:r>
        <w:rPr>
          <w:rFonts w:ascii="Times New Roman" w:cs="Times New Roman" w:eastAsia="Times New Roman" w:hAnsi="Times New Roman"/>
          <w:sz w:val="14"/>
          <w:szCs w:val="14"/>
          <w:b w:val="1"/>
          <w:bCs w:val="1"/>
          <w:color w:val="FF0000"/>
        </w:rPr>
        <w:t>The information in this preliminary prospectus is not complete and may be changed. This preliminary prospectus is not an offer to sell these securities and we are not soliciting an offer to buy these securities in any jurisdiction where the offer or sale is not permitted.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121920</wp:posOffset>
            </wp:positionV>
            <wp:extent cx="2042795"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27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SATELLOGIC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$200,000,000 Aggregate Amount of Shares of Class A Common Stock</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in one or more series or issuance and on the terms to be determined at the time of the offering, by the Company of up to $200,000,000 aggregate amount of shares of Class A Common Stock.</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registration of the Class A Common Stock covered by this prospectus does not mean that we will issue, offer or sell, any of the shares of Class A Common Stock.</w:t>
      </w:r>
    </w:p>
    <w:p>
      <w:pPr>
        <w:spacing w:after="0" w:line="175"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With respect to the Company’s offering of $200,000,000 aggregate amount of our Class A Common Stock, this prospectus describes the general terms of these securities and the general manner in which these securities will be offered. We will provide the specific terms of these securities in supplements to this prospectus. The prospectus supplements will also describe the manner in which these securities will be offered and may also add to, update or change information contained in this prospectus. You should carefully read this prospectus and any applicable accompanying prospectus supplement, together with the information incorporated by reference and any related free writing prospectus, before you invest in the securities. We may offer and sell the securities separately or together in any combination for sale directly to investors or through underwriters, dealers or agents. If any underwriters, dealers or agents are involved in the sale of these securities we will set forth their names and describe their compensation in the applicable prospectus supplement.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more detail regarding the securities offered pursuant to this registration statement, please see “</w:t>
      </w:r>
      <w:r>
        <w:rPr>
          <w:rFonts w:ascii="Times New Roman" w:cs="Times New Roman" w:eastAsia="Times New Roman" w:hAnsi="Times New Roman"/>
          <w:sz w:val="14"/>
          <w:szCs w:val="14"/>
          <w:i w:val="1"/>
          <w:iCs w:val="1"/>
          <w:color w:val="auto"/>
        </w:rPr>
        <w:t>Information Related to Offered Securities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risks that are described in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section beginning on page 5 of this prospectus.</w:t>
      </w:r>
    </w:p>
    <w:p>
      <w:pPr>
        <w:spacing w:after="0" w:line="175" w:lineRule="exact"/>
        <w:rPr>
          <w:sz w:val="20"/>
          <w:szCs w:val="20"/>
          <w:color w:val="auto"/>
        </w:rPr>
      </w:pPr>
    </w:p>
    <w:p>
      <w:pPr>
        <w:jc w:val="both"/>
        <w:ind w:firstLine="505"/>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ind w:left="4260"/>
              <w:spacing w:after="0"/>
              <w:rPr>
                <w:sz w:val="20"/>
                <w:szCs w:val="20"/>
                <w:color w:val="auto"/>
              </w:rPr>
            </w:pPr>
            <w:r>
              <w:rPr>
                <w:rFonts w:ascii="Times New Roman" w:cs="Times New Roman" w:eastAsia="Times New Roman" w:hAnsi="Times New Roman"/>
                <w:sz w:val="14"/>
                <w:szCs w:val="14"/>
                <w:b w:val="1"/>
                <w:bCs w:val="1"/>
                <w:color w:val="auto"/>
              </w:rPr>
              <w:t>The date of this prospectus is</w:t>
            </w:r>
          </w:p>
        </w:tc>
        <w:tc>
          <w:tcPr>
            <w:tcW w:w="4960" w:type="dxa"/>
            <w:vAlign w:val="bottom"/>
          </w:tcPr>
          <w:p>
            <w:pPr>
              <w:jc w:val="right"/>
              <w:ind w:right="4190"/>
              <w:spacing w:after="0"/>
              <w:rPr>
                <w:sz w:val="20"/>
                <w:szCs w:val="20"/>
                <w:color w:val="auto"/>
              </w:rPr>
            </w:pPr>
            <w:r>
              <w:rPr>
                <w:rFonts w:ascii="Times New Roman" w:cs="Times New Roman" w:eastAsia="Times New Roman" w:hAnsi="Times New Roman"/>
                <w:sz w:val="14"/>
                <w:szCs w:val="14"/>
                <w:b w:val="1"/>
                <w:bCs w:val="1"/>
                <w:color w:val="auto"/>
              </w:rPr>
              <w:t>, 2026.</w:t>
            </w:r>
          </w:p>
        </w:tc>
      </w:tr>
      <w:tr>
        <w:trPr>
          <w:trHeight w:val="443"/>
        </w:trPr>
        <w:tc>
          <w:tcPr>
            <w:tcW w:w="63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80"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6580" w:type="dxa"/>
            <w:vAlign w:val="bottom"/>
          </w:tcPr>
          <w:p>
            <w:pPr>
              <w:jc w:val="right"/>
              <w:ind w:right="481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36"/>
        </w:trPr>
        <w:tc>
          <w:tcPr>
            <w:tcW w:w="4700" w:type="dxa"/>
            <w:vAlign w:val="bottom"/>
          </w:tcPr>
          <w:p>
            <w:pPr>
              <w:spacing w:after="0"/>
              <w:rPr>
                <w:sz w:val="24"/>
                <w:szCs w:val="24"/>
                <w:color w:val="auto"/>
              </w:rPr>
            </w:pPr>
          </w:p>
        </w:tc>
        <w:tc>
          <w:tcPr>
            <w:tcW w:w="6580" w:type="dxa"/>
            <w:vAlign w:val="bottom"/>
          </w:tcPr>
          <w:p>
            <w:pPr>
              <w:spacing w:after="0"/>
              <w:rPr>
                <w:sz w:val="24"/>
                <w:szCs w:val="24"/>
                <w:color w:val="auto"/>
              </w:rPr>
            </w:pPr>
          </w:p>
        </w:tc>
      </w:tr>
      <w:tr>
        <w:trPr>
          <w:trHeight w:val="2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ABOUT THIS PROSPECTUS</w:t>
            </w:r>
          </w:p>
        </w:tc>
        <w:tc>
          <w:tcPr>
            <w:tcW w:w="6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w:t>
            </w:r>
          </w:p>
        </w:tc>
      </w:t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FREQUENTLY USED TERMS</w:t>
            </w:r>
          </w:p>
        </w:tc>
        <w:tc>
          <w:tcPr>
            <w:tcW w:w="6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32"/>
        </w:trPr>
        <w:tc>
          <w:tcPr>
            <w:tcW w:w="470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CAUTIONARY NOTE REGARDING FORWARD-LOOKING STATEMENTS</w:t>
            </w:r>
          </w:p>
        </w:tc>
        <w:tc>
          <w:tcPr>
            <w:tcW w:w="6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iii</w:t>
            </w:r>
          </w:p>
        </w:tc>
      </w:t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PROSPECTUS SUMMARY</w:t>
            </w:r>
          </w:p>
        </w:tc>
        <w:tc>
          <w:tcPr>
            <w:tcW w:w="6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2"/>
        </w:trPr>
        <w:tc>
          <w:tcPr>
            <w:tcW w:w="470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INFORMATION RELATED TO OFFERED SECURITIES</w:t>
            </w:r>
          </w:p>
        </w:tc>
        <w:tc>
          <w:tcPr>
            <w:tcW w:w="6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6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2"/>
        </w:trPr>
        <w:tc>
          <w:tcPr>
            <w:tcW w:w="470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USE OF PROCEEDS</w:t>
            </w:r>
          </w:p>
        </w:tc>
        <w:tc>
          <w:tcPr>
            <w:tcW w:w="6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DIVIDEND POLICY</w:t>
            </w:r>
          </w:p>
        </w:tc>
        <w:tc>
          <w:tcPr>
            <w:tcW w:w="6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32"/>
        </w:trPr>
        <w:tc>
          <w:tcPr>
            <w:tcW w:w="470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MATERIAL U.S. FEDERAL INCOME TAX CONSIDERATIONS</w:t>
            </w:r>
          </w:p>
        </w:tc>
        <w:tc>
          <w:tcPr>
            <w:tcW w:w="6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PLAN OF DISTRIBUTION</w:t>
            </w:r>
          </w:p>
        </w:tc>
        <w:tc>
          <w:tcPr>
            <w:tcW w:w="6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32"/>
        </w:trPr>
        <w:tc>
          <w:tcPr>
            <w:tcW w:w="470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MATTERS</w:t>
            </w:r>
          </w:p>
        </w:tc>
        <w:tc>
          <w:tcPr>
            <w:tcW w:w="6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EXPERTS</w:t>
            </w:r>
          </w:p>
        </w:tc>
        <w:tc>
          <w:tcPr>
            <w:tcW w:w="6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32"/>
        </w:trPr>
        <w:tc>
          <w:tcPr>
            <w:tcW w:w="470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WHERE YOU CAN FIND MORE INFORMATION</w:t>
            </w:r>
          </w:p>
        </w:tc>
        <w:tc>
          <w:tcPr>
            <w:tcW w:w="6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INCORPORATION BY REFERENCE</w:t>
            </w:r>
          </w:p>
        </w:tc>
        <w:tc>
          <w:tcPr>
            <w:tcW w:w="6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474"/>
        </w:trPr>
        <w:tc>
          <w:tcPr>
            <w:tcW w:w="470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80" w:right="31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using a “shelf” registration process. Under this shelf registration process, we may, from time to time, sell the securities described in this prospectus in one or more offerings up to a total dollar amount of $200,000,000 in shares of Class A Common Stock. This prospectus provides you with a general description of our Class A Common Stock that we may offer. To the extent required by applicable law, each time we sell shares of our Class A Common Stock, we will provide you with this prospectus and, to the extent required, a prospectus supplement that will contain more information about the specific terms of the offering. We may also authorize one or more free writing prospectuses to be provided to you that may contain material information relating to these offerings. Each such prospectus supplement (and any related free writing prospectus that we may authorize to be provided to you), if any, may also add, update or change information contained in this prospectus or in documents incorporated by reference into this prospectus. We urge you to carefully read this prospectus, any applicable prospectus supplement, if any, and any related free writing prospectus, together with the information incorporated herein and therein by reference as described under the headings “</w:t>
      </w:r>
      <w:r>
        <w:rPr>
          <w:rFonts w:ascii="Times New Roman" w:cs="Times New Roman" w:eastAsia="Times New Roman" w:hAnsi="Times New Roman"/>
          <w:sz w:val="14"/>
          <w:szCs w:val="14"/>
          <w:i w:val="1"/>
          <w:iCs w:val="1"/>
          <w:color w:val="auto"/>
        </w:rPr>
        <w:t>Where You Can Find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by Reference</w:t>
      </w:r>
      <w:r>
        <w:rPr>
          <w:rFonts w:ascii="Times New Roman" w:cs="Times New Roman" w:eastAsia="Times New Roman" w:hAnsi="Times New Roman"/>
          <w:sz w:val="14"/>
          <w:szCs w:val="14"/>
          <w:color w:val="auto"/>
        </w:rPr>
        <w:t>” before buying any of the Class A Common Stock being offered. If there is any inconsistency between the information in this prospectus and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supplement or free writing prospectus, you should rely on the information provided in the prospectus supplement or free writing prospectus, as applicable.</w:t>
      </w:r>
    </w:p>
    <w:p>
      <w:pPr>
        <w:spacing w:after="0" w:line="149"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any amendment or supplement to this prospectus or any free writing prospectus prepared by us or on our behalf. Any amendment or supplement may also add, update or change information included in this prospectus. Any statement contained in this prospectus will be deemed to be modified or superseded for purposes of this prospectus to the extent that a statement contained in such amendment or supplement modifies or supersedes such statement. Any statement so modified will be deemed to constitute a part of this prospectus only as so modified, and any statement so superseded will be deemed not to constitute a part of this prospectus.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We have not authorized any other person to provide you with different or additional information. We do not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and you may obtain copies of those documents as described under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are not making an offer to sell these securities in any jurisdiction where the offer or sale is not permitted. 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36"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The Company name, logos and other trademarks and service marks of the Company appearing in this prospectus are the property of the Company. 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 or trademarks to imply a relationship with, or endorsement or sponsorship of us by, any other companies.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Certain amounts that appear in this prospectus may not sum due to rounding.</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this prospectus, “we,” “us,” “our,” the “Company” and “Satellogic Inc.” refer to Satellogic Inc. and its wholly owned subsidiaries.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501" w:right="3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FREQUENTLY USED TERMS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this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means the board of directors of Satellogic.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“BVI” means the British Virgin Islands.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“Cantor” means Cantor Fitzgerald L.P., a Delaware limited partnership.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“CF&amp;Co.” means Cantor Fitzgerald &amp; Co., a New York general partnership.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A Common Stock” means the class A common stock of the Company, par value $0.0001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“Code” means the Internal Revenue Code of 1986,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means Satellogic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“EO” means Earth observation.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“Liberty Investor” means Liberty Strategic Capital (SATL) Holdings, LLC, a Cayman Islands limited liability company and an investment vehicle managed by Liberty 77 Capital 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“Nasdaq” means The Nasdaq Stock Market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“Satellogic” means Satellogic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means the United States Securities and Exchange Commission.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Act” means the United States Securities Act of 1933, as amended.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67310</wp:posOffset>
            </wp:positionV>
            <wp:extent cx="716280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0240"/>
          </w:cols>
          <w:pgMar w:left="800" w:top="480" w:right="8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7"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This registration statement contains forward-looking statements regarding, among other things, the plans, strategies and prospects, both business and financial of the Company. These statements are based on the beliefs and assumptions of the management of the Company. Although the Company believes its plans, intentions and expectations reflected in or suggested by these forward-looking statements are reasonable, the Company cannot assure you that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w:t>
      </w:r>
    </w:p>
    <w:p>
      <w:pPr>
        <w:spacing w:after="0" w:line="143"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1"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In addition, statements that the Company “believes” and similar statements reflect such parties’ beliefs and opinions on the relevant subject. These statements are based upon information available to such party as of the date of this prospectus, and while such party believes such information forms a reasonable basis for such statements, such information may be limited or incomplete, and these statements should not be read to indicate that the Company has conducted an exhaustive inquiry into, or review of, all potentially available relevant information. These statements are inherently uncertain and investors are cautioned not to unduly rely upon these statements.</w:t>
      </w:r>
    </w:p>
    <w:p>
      <w:pPr>
        <w:spacing w:after="0" w:line="14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that speak only as of the date hereof. As a result of a number of known and unknown risks and uncertainties, our actual results or performance may be materially different from those expressed or implied by these forward- looking statements. Some factors that could cause actual results to differ include:</w:t>
      </w:r>
    </w:p>
    <w:p>
      <w:pPr>
        <w:spacing w:after="0" w:line="125" w:lineRule="exact"/>
        <w:rPr>
          <w:sz w:val="20"/>
          <w:szCs w:val="20"/>
          <w:color w:val="auto"/>
        </w:rPr>
      </w:pPr>
    </w:p>
    <w:p>
      <w:pPr>
        <w:ind w:left="500" w:hanging="244"/>
        <w:spacing w:after="0" w:line="283"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as expected, including due to challenges created by macroeconomic concerns, geopolitical uncertainty (e.g., trade relationships), financial market fluctuations and related factors;</w:t>
      </w:r>
    </w:p>
    <w:p>
      <w:pPr>
        <w:spacing w:after="0" w:line="124"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market and sell our EO services and to convert our pipeline of potential contracts into actual revenues;</w:t>
      </w:r>
    </w:p>
    <w:p>
      <w:pPr>
        <w:spacing w:after="0" w:line="175" w:lineRule="exact"/>
        <w:rPr>
          <w:rFonts w:ascii="Times New Roman" w:cs="Times New Roman" w:eastAsia="Times New Roman" w:hAnsi="Times New Roman"/>
          <w:sz w:val="14"/>
          <w:szCs w:val="14"/>
          <w:color w:val="auto"/>
        </w:rPr>
      </w:pPr>
    </w:p>
    <w:p>
      <w:pPr>
        <w:ind w:left="500" w:hanging="244"/>
        <w:spacing w:after="0" w:line="283"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EO services and our dependence upon our ability to keep pace with the latest technological advances, including those related to artificial intelligence and machine learning;</w:t>
      </w:r>
    </w:p>
    <w:p>
      <w:pPr>
        <w:spacing w:after="0" w:line="124"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Secured Convertible Notes;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one or more of our largest customers;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considerable time and expense related to our sales efforts and the length and unpredictability of our sales cycle;</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and uncertainties associated with defense-related contracts;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pricing structure;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7" w:name="page8"/>
    <w:bookmarkEnd w:id="7"/>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scale production of our satellites as planned;</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risks, challenges and uncertainties related to our expansion into new business lines;</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 parties, including SpaceX, to transport and launch our satellites into space;</w:t>
      </w:r>
    </w:p>
    <w:p>
      <w:pPr>
        <w:spacing w:after="0" w:line="175" w:lineRule="exact"/>
        <w:rPr>
          <w:rFonts w:ascii="Times New Roman" w:cs="Times New Roman" w:eastAsia="Times New Roman" w:hAnsi="Times New Roman"/>
          <w:sz w:val="14"/>
          <w:szCs w:val="14"/>
          <w:color w:val="auto"/>
        </w:rPr>
      </w:pPr>
    </w:p>
    <w:p>
      <w:pPr>
        <w:ind w:left="244" w:hanging="244"/>
        <w:spacing w:after="0" w:line="283" w:lineRule="auto"/>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party vendors and manufacturers to build and provide certain satellite components, products, or services, and the inability of these vendors and manufacturers to meet our needs;</w:t>
      </w:r>
    </w:p>
    <w:p>
      <w:pPr>
        <w:spacing w:after="0" w:line="124" w:lineRule="exact"/>
        <w:rPr>
          <w:rFonts w:ascii="Times New Roman" w:cs="Times New Roman" w:eastAsia="Times New Roman" w:hAnsi="Times New Roman"/>
          <w:sz w:val="14"/>
          <w:szCs w:val="14"/>
          <w:color w:val="auto"/>
        </w:rPr>
      </w:pPr>
    </w:p>
    <w:p>
      <w:pPr>
        <w:ind w:left="244" w:hanging="244"/>
        <w:spacing w:after="0" w:line="283" w:lineRule="auto"/>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ground station and cloud-based computing infrastructure operated by third parties for value added services, and any errors, disruption, cybersecurity incidents, performance problems, or failure in their or our operational infrastructure;</w:t>
      </w:r>
    </w:p>
    <w:p>
      <w:pPr>
        <w:spacing w:after="0" w:line="124"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certain minimum service requirements in our customer contracts;</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suitable acquisition candidates or consummate acquisitions on acceptable terms, or our ability to successfully integrate acquisitions;</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for EO services;</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tax laws and regulations, including the “One Big Beautiful Bill Act;”</w:t>
      </w:r>
    </w:p>
    <w:p>
      <w:pPr>
        <w:spacing w:after="0" w:line="175" w:lineRule="exact"/>
        <w:rPr>
          <w:rFonts w:ascii="Times New Roman" w:cs="Times New Roman" w:eastAsia="Times New Roman" w:hAnsi="Times New Roman"/>
          <w:sz w:val="14"/>
          <w:szCs w:val="14"/>
          <w:color w:val="auto"/>
        </w:rPr>
      </w:pPr>
    </w:p>
    <w:p>
      <w:pPr>
        <w:ind w:left="244" w:hanging="244"/>
        <w:spacing w:after="0" w:line="283" w:lineRule="auto"/>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trade policy and the related impact on macroeconomic conditions, including further expansions of U.S. export controls and tariffs, as well as related retaliatory actions;</w:t>
      </w:r>
    </w:p>
    <w:p>
      <w:pPr>
        <w:spacing w:after="0" w:line="124"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with international operations or unexpected changes to the regulatory environment in certain markets;</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unknown defects or errors in our products;</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capital-intensive nature of our business and our ability to raise adequate capital to finance our business strategies;</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beyond our control related to the production, launch, commissioning, and/or operation of our satellites and related ground systems, software and analytic technologies;</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market for EO services to achieve the growth potential we expect;</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satellites and related equipment becoming impaired;</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failure of our satellites to operate as intended;</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and launch delays, launch failures, and damage or destruction to our satellites during launch;</w:t>
      </w:r>
    </w:p>
    <w:p>
      <w:pPr>
        <w:spacing w:after="0" w:line="175"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risks and uncertainties related to our insurance that may not be covered by insurance;</w:t>
      </w:r>
    </w:p>
    <w:p>
      <w:pPr>
        <w:spacing w:after="0" w:line="175" w:lineRule="exact"/>
        <w:rPr>
          <w:rFonts w:ascii="Times New Roman" w:cs="Times New Roman" w:eastAsia="Times New Roman" w:hAnsi="Times New Roman"/>
          <w:sz w:val="14"/>
          <w:szCs w:val="14"/>
          <w:color w:val="auto"/>
        </w:rPr>
      </w:pPr>
    </w:p>
    <w:p>
      <w:pPr>
        <w:ind w:left="244" w:hanging="244"/>
        <w:spacing w:after="0" w:line="283" w:lineRule="auto"/>
        <w:tabs>
          <w:tab w:leader="none" w:pos="24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natural disasters, unusual or prolonged unfavorable weather conditions, epidemic outbreaks, terrorist acts and geopolitical events (including the new conflicts in Iran and the Middle East) on our business and satellite launch schedules;</w:t>
      </w:r>
    </w:p>
    <w:p>
      <w:pPr>
        <w:spacing w:after="0" w:line="125"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67310</wp:posOffset>
            </wp:positionV>
            <wp:extent cx="716280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024"/>
          </w:cols>
          <w:pgMar w:left="556" w:top="482" w:right="319" w:bottom="1440" w:gutter="0" w:footer="0" w:header="0"/>
        </w:sectPr>
      </w:pPr>
    </w:p>
    <w:bookmarkStart w:id="8" w:name="page9"/>
    <w:bookmarkEnd w:id="8"/>
    <w:p>
      <w:pPr>
        <w:ind w:left="500" w:hanging="244"/>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ability to protect our intellectual property critical to the design and function of our satellites and our EO services; and</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benefits of our Domestication (as defined below) may not materialize</w:t>
      </w:r>
    </w:p>
    <w:p>
      <w:pPr>
        <w:spacing w:after="0" w:line="17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Risks, uncertainties and events may cause actual results to differ materially from the expectations described in our forward-looking statements. The above list of factors is not exhaustive. Other important factors are discussed under the captions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Discussion and Analysis</w:t>
      </w:r>
      <w:r>
        <w:rPr>
          <w:rFonts w:ascii="Times New Roman" w:cs="Times New Roman" w:eastAsia="Times New Roman" w:hAnsi="Times New Roman"/>
          <w:sz w:val="14"/>
          <w:szCs w:val="14"/>
          <w:color w:val="auto"/>
        </w:rPr>
        <w:t>” in our Annual Report on Form 10-K for the fiscal year ended December 31, 2025, or in other reports which we from time to time file with the SEC.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or incorporated by reference into, this prospectus and does not contain all of the information that is important to you in making an investment decision. This summary is qualified in its entirety by the more detailed information included in this prospectus, any applicable prospectus supplement and the documents incorporated by reference in this prospectus and any applicable prospectus supplement. Before making your investment decision with respect to our securities, you should carefully read this entire prospectus and any applicable prospectus supplement, together with the information incorporated by reference herein or therein. This summary does not contain all of the information you should consider before investing in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s securities. Before making an investment decision, you should read this entire prospectus carefully, especially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the financial statements and related notes thereto, and the other documents to which this prospectus refers. Some of the statements in this prospectus constitute forward-looking statements that involve risks and uncertainties. See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Cautionary Note Regarding Forward- Looking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for more information. Unless the context otherwise requires, in this prospectus, the terms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Company,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Satellogic,</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refer to Satellogic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Satellogic’s mission is to democratize access to geospatial data through its information platform of high-resolution images to help solve the world’s most pressing problems including climate change, energy supply, and food security. Using its patented Earth imaging technology, Satellogic seeks to unlock the power of EO to deliver high-quality, planetary insights at unparalleled value. With more than a decade of experience in space and over 150 years of flight heritage, Satellogic has proven technology and a strong track record of delivering satellites to orbit and high-resolution data to customers at the right price point. We believe our unmatched capacity and scale, our cost leadership and technical superiority, and our non-ITAR (International Traffic in Arms Regulations) design provides us with key competitive advantages.</w:t>
      </w:r>
    </w:p>
    <w:p>
      <w:pPr>
        <w:spacing w:after="0" w:line="144"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Founded in 2010 by Emiliano Kargieman and Gerardo Richarte, Satellogic is a vertically integrated Earth observation company that designs, manufactures, and operates satellite systems, delivering decision-grade insights at scale to government and commercial customers. Through an end-to-end production and operations model, Satellogic provides governments with flexible options across their journey toward sovereign Earth observation. From access to high-frequency imagery and managed space systems to full satellite ownership, to supporting autonomous data availability and long-term technological independence.</w:t>
      </w:r>
    </w:p>
    <w:p>
      <w:pPr>
        <w:spacing w:after="0" w:line="14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This integrated approach enables Satellogic to deploy satellites on predictable timelines and operate with capacity to support persistent coverage across large portfolios of sites. Satellogic enables continuous monitoring and alert-driven workflows that help defense and intelligence (“D&amp;I”) agencies, civil governments, and commercial operators move from reactive tasking to proactive decision-making, providing mission-critical data when it is needed.</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Unmatched Capacity and Scale</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Today’s EO data market is supply-constrained with customers demanding more data at lower costs. With 17 operational satellites and two satellites in commissioning as of December 31, 2025, we have one of the largest high-resolution constellations commercially available with the ability to significantly leverage existing, in-orbit capabilities as capacity and cost champions.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Radical Cost Leadership and Technical Superiority</w:t>
      </w:r>
    </w:p>
    <w:p>
      <w:pPr>
        <w:spacing w:after="0" w:line="177"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We produce and launch our satellites for a fraction of the cost of our competitors, which is achieved through our vertical integration, in-house manufacturing and an AI-First design philosophy optimized for low mass and rapid production.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located in a free-trade zone in Montevideo, Uruguay. Additionally, our patent-protected camera design allows us to capture approximately 10x more imagery than our competitors. Our superior capture capacity, coupled with our radical cost leadership, results in industry-leading unit economics. When taken together with the resolution and frequency we are able to deliver, we believe Satellogic is uniquely positioned to drive a meaningful expansion of today’s EO market with persistent monitoring and actionable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273685</wp:posOffset>
            </wp:positionV>
            <wp:extent cx="716280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501" w:right="31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4"/>
          <w:szCs w:val="14"/>
          <w:i w:val="1"/>
          <w:iCs w:val="1"/>
          <w:color w:val="auto"/>
        </w:rPr>
        <w:t>Non-ITAR Design</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are a U.S.-incorporated company operating without the heavy burden of export controls based on our non-ITAR design and our principal manufacturing location in Montevideo, Uruguay. This allows us to provide unique, disruptively-priced sovereign and defense solutions rapidly with technology and knowledge transfer resulting in local manufacturing capabilities and in-orbit flight heritage.</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Our Strategy</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strategy is focused along two distinct business lines: Data &amp; Analytics, including tasking and archived data, Aleph Observer and Constellation as a Service (“CaaS”), and Space Systems.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two business lines will allow us to serve the existing EO market and begin to democratize access to a host of new EO customers.</w:t>
      </w:r>
    </w:p>
    <w:p>
      <w:pPr>
        <w:spacing w:after="0" w:line="16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We expect that the Data &amp; Analytics business will continue to represent our most predictable revenue stream, and we anticipate that it will be a primary driver of the business going forward alongside Space Systems.</w:t>
      </w:r>
    </w:p>
    <w:p>
      <w:pPr>
        <w:spacing w:after="0" w:line="125"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Our newest product, Aleph Observer, represents a shift in how Earth observation is procured and used. Rather than relying on episodic tasking and best-effort imagery delivery, it enables ongoing monitoring of hundreds of sites daily in a customer’s area of interest, with predictable delivery over time. This allows teams to detect and assess change without repeated tasking, helping reduce operational friction and increase confidence in what was observed and what was not. Aleph Observer will also be a foundational platform within our Data &amp; Analytics business as Merlin, our AI-First constellation, comes online unlocking the ability to go from monitoring hundreds of sites to an unlimited number, potentially millions of sites daily in very high-resolution, constituting a true AI-powered platform for persistent geospatial intelligence at a global scale. By featuring built-in analytics, the Aleph Observer platform allows users to quickly evaluate large volumes of catalogued imagery, triage and summarize changes over time, prioritize analysts’ workflows and create a historical record and an essential training ground for AI models to power the next generation of geospatial intelligence. We believe this evolution will enable government and defense customers to shift from reactive monitoring to proactive intelligence in identifying emerging threats, while simultaneously providing commercial enterprises with a scalable, cost-effective foundational data layer that replaces traditional, comparatively expensive alternative data sources.</w:t>
      </w:r>
    </w:p>
    <w:p>
      <w:pPr>
        <w:spacing w:after="0" w:line="145"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Merlin, our AI-First constellation, is expected to launch its first satellite in the fourth quarter of 2026, and be fully operational in the first half of 2027. With Merlin, which is fully funded by existing customer contracts, we expect to leverage AI-powered, on-orbit analytics to deliver near real-time alerts and, through inter-satellite links, task the rest of Satellogic’s constellation to deliver a completely integrated, very high-resolution global broad area monitoring to enterprise and national security customers. In particular, we expect government and D&amp;I customers of our Aleph Observer site monitoring product to be able to extend their monitoring capacity from hundreds of sites per day to an unlimited number of sites, completing the shift from reactive monitoring to proactive intelligence, enabling the identification of emerging threats and anticipating future events, while enterprise customers will be provided foundational data intelligence for their specific use cases where alternative sources of data are currently being used that are difficult to scale and comparatively expensive.</w:t>
      </w:r>
    </w:p>
    <w:p>
      <w:pPr>
        <w:spacing w:after="0" w:line="143"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As the capacity and cost champions for high resolution imagery, we offer our customers flexible monitoring and multiple captures per day at low latency. Supported by patented intellectual property and vertical integration, we believe our integrated data &amp; analytics service represents a disruptive solution driven by radical unit economics that creates a considerable competitive moat. With the capabilities and capacity we have in orbit today, we can support a growing number of customers around the world.</w:t>
      </w:r>
    </w:p>
    <w:p>
      <w:pPr>
        <w:spacing w:after="0" w:line="136"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Our Space Systems business offers unique solutions to sovereign customers or local partners with their own EO capabilities and in-orbit flight heritage at a disruptive price by leveraging our vertical integration and non-ITAR design. With rapid technology and knowledge transfer, as quickly as three to five months, our customers own, assemble and integrate their own satellites with operational support provided by us in their local AIT (Assembly Integration and Test) facility. We anticipate our Data &amp; Analytics line of business will augment the capabilities of many of the Space Systems customers.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50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7"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On January 26, 2026, the Company entered into a definitive securities purchase agreement with a single institutional investment manager in connection with a registered direct offering of 7,399,578 shares of the Company’s Class A Common Stock at an effective purchase price of approximately $4.73 per share.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gross proceeds to the Company from the offering were approximately $35 million, before deducting placement agent fees and other estimated offering expenses payable by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shares were sold by the Company pursuant to an existing shelf registration statement on Form S-3 (Registration No. 333-283719). The offering closed on January 27,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Implications of Being an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Emerging Growth Company</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The Company qualifies as an “emerging growth company” as defined in the Jumpstart Our Business Startups Act of 2012 (the “JOBS Act”). As an “emerging growth company,” the Company may take advantage of certain exemptions from specified disclosure and other requirements that are otherwise generally applicable to public companies. These exemptions include:</w:t>
      </w:r>
    </w:p>
    <w:p>
      <w:pPr>
        <w:spacing w:after="0" w:line="125" w:lineRule="exact"/>
        <w:rPr>
          <w:sz w:val="20"/>
          <w:szCs w:val="20"/>
          <w:color w:val="auto"/>
        </w:rPr>
      </w:pPr>
    </w:p>
    <w:p>
      <w:pPr>
        <w:ind w:left="500" w:hanging="244"/>
        <w:spacing w:after="0" w:line="283"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for the assessment of our internal control over financial reporting provided by Section 404 of the Sarbanes-Oxley Act of 2002 (the “Sarbanes-Oxley Act”);</w:t>
      </w:r>
    </w:p>
    <w:p>
      <w:pPr>
        <w:spacing w:after="0" w:line="124"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and</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 nonbinding advisory vote on executive compensation or seek stockholder approval of any golden parachute payments not previously approved.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take advantage of these reporting exemptions until it is no longer an “emerging growth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We were incorporated under the laws of the BVI on June 29, 2021. On March 26, 2025, we completed our domestication, pursuant to which we domesticated as a corporation incorporated under the laws of the State of Delaware and discontinued as a business company with limited liability incorporated under the laws of the BVI (the “Domestication”). Our principal executive office is located at 210 Delburg Street, Davidson, NC 28036. Our telephone number is (704) 802-2041. Our principal website address is www.satellogic.com. We do not incorporate the information contained on, or accessible through, our website into this prospectus, and you should not consider it a part of this prospectus.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INFORMATION RELATED TO OFFERED SECURITIES</w:t>
      </w:r>
    </w:p>
    <w:p>
      <w:pPr>
        <w:spacing w:after="0" w:line="177"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in one or more series, or issuances and on the terms to be determined at the time of the offering, by the Company of up to $200,000,000 aggregate amount of shares of Class A Common Stock.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Investment in any securities offered pursuant to this prospectus and any applicable prospectus supplement involves risks. You should carefully consider the risk factors incorporated by reference to our most recent Annual Report on Form 10-K, under the caption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in any subsequent Quarterly Reports on Form 10-Q, under the caption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or in our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before acquiring any of such securities. The occurrence of one or more of the events or circumstances described in such filings, alone or in combination with other events or circumstances, may cause you to lose all or a part of your investment in the offered securities. Additional risk factors not presently known to us or that we currently deem immaterial may also impair our business or results of operations. See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Incorporation by Reference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elsewhere in this prospectus.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Class A Common Stock has been extremely volatile and may continue to be volatile due to numerous circumstances beyond our control.</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Fluctuations in the price of our Class A Common Stock could contribute to the loss of all or part of your investment. The trading price of our Class A Common Stock has been, and may continue to be, volatile and subject to wide fluctuations in response to various factors, some of which are beyond our control. Any of the factors listed below could have a material adverse effect on your investment in our Class A Common Stock, and shares of our Class A Common Stock may trade at prices significantly below the price you paid for them. In such circumstances, the trading price of our Class A Common Stock may not recover and may experience a further decline.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Factors affecting the trading price of our Class A Common Stock may include:</w:t>
      </w:r>
    </w:p>
    <w:p>
      <w:pPr>
        <w:spacing w:after="0" w:line="175" w:lineRule="exact"/>
        <w:rPr>
          <w:sz w:val="20"/>
          <w:szCs w:val="20"/>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results or the financial results of companies perceived to be similar to it;</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comments by securities analysts or other third parties, including blogs, articles, message boards and social and other media;</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squeezes”;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of competitors;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failing to meet the expectation of securities analysts or investors in a particular period;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industries in which we operate;</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share price performance of other companies that investors deem comparable to us;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new and enhanced products and technologies on a timely basis;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compliance requirements;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14" w:name="page15"/>
    <w:bookmarkEnd w:id="14"/>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Class A Common Stock available for public sale;</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to our Board or management;</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Class A Common Stock by our directors, executive officers or significant stockholders or the perception that such sales could occur; and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international currency fluctuations and acts of war or terrorism.</w:t>
      </w:r>
    </w:p>
    <w:p>
      <w:pPr>
        <w:spacing w:after="0" w:line="17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Class A Common Stock, may not be predictable. A loss of investor confidence in the market for our Class A Common Stock and the stocks of other companies which investors perceive to be similar to us could depress our share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14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Content available in public media that is published by third parties, including blogs, posts, articles, message boards and social and other media, may include statements not attributable to us and may not be reliable or accurate.</w:t>
      </w:r>
    </w:p>
    <w:p>
      <w:pPr>
        <w:spacing w:after="0" w:line="123"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We have received, and may continue to receive, media coverage that is published or otherwise disseminated by third parties, including blogs, posts, articles, message boards and social and other media. This includes coverage that is not attributable to statements made by our officers or associates. You should read carefully, evaluate and rely only on the information contained in this prospectus supplement, the accompanying prospectus or any applicable free writing prospectus filed with the SEC in determining whether to purchase our Class A Common Stock. Information or other media provided by third parties may not be reliable or accurate and could materially impact the trading price of our Class A Common Stock which could cause stockholders to lose their investments.</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sale of a substantial number of shares of our Class A Common Stock or other securities, or the perception that such sales could occur, could cause the market price of our Class A Common Stock to decline.</w:t>
      </w:r>
    </w:p>
    <w:p>
      <w:pPr>
        <w:spacing w:after="0" w:line="123"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The market price of our Class A Common Stock could decline as a result of sales of a large number of shares in the market or the perception that these sales could occur. These sales, or the possibility of these sales, also might make it more difficult for us to sell equity securities in the future at a time and at a price that we deem appropriate.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have recently completed several capital raises to fund our operations and constellation expansion, which have resulted in significant dilution to existing stockholders, including:</w:t>
      </w:r>
    </w:p>
    <w:p>
      <w:pPr>
        <w:spacing w:after="0" w:line="175" w:lineRule="exact"/>
        <w:rPr>
          <w:sz w:val="20"/>
          <w:szCs w:val="20"/>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registered direct offering of Class A Common Stock that generated gross proceeds of approximately $35 million in January 2026;</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underwritten public offering of Class A Common Stock in October 2025 that generated gross proceeds of approximately $90 million; and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registered direct offering of Class A Common Stock in April 2025 that generated gross proceeds of approximately $20 million.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15" w:name="page16"/>
    <w:bookmarkEnd w:id="15"/>
    <w:p>
      <w:pPr>
        <w:jc w:val="both"/>
        <w:ind w:firstLine="757"/>
        <w:spacing w:after="0" w:line="283" w:lineRule="auto"/>
        <w:rPr>
          <w:sz w:val="20"/>
          <w:szCs w:val="20"/>
          <w:color w:val="auto"/>
        </w:rPr>
      </w:pPr>
      <w:r>
        <w:rPr>
          <w:rFonts w:ascii="Times New Roman" w:cs="Times New Roman" w:eastAsia="Times New Roman" w:hAnsi="Times New Roman"/>
          <w:sz w:val="14"/>
          <w:szCs w:val="14"/>
          <w:color w:val="auto"/>
        </w:rPr>
        <w:t>We have also filed registration statements with the SEC registering the resale of up to 25,000,000 shares of Class A Common Stock issuable upon the conversion of our Secured Convertible Notes. All of these shares currently remain unsold but represent a significant potential for future dilution.</w:t>
      </w:r>
    </w:p>
    <w:p>
      <w:pPr>
        <w:spacing w:after="0" w:line="125" w:lineRule="exact"/>
        <w:rPr>
          <w:sz w:val="20"/>
          <w:szCs w:val="20"/>
          <w:color w:val="auto"/>
        </w:rPr>
      </w:pPr>
    </w:p>
    <w:p>
      <w:pPr>
        <w:jc w:val="both"/>
        <w:ind w:firstLine="757"/>
        <w:spacing w:after="0" w:line="283" w:lineRule="auto"/>
        <w:rPr>
          <w:sz w:val="20"/>
          <w:szCs w:val="20"/>
          <w:color w:val="auto"/>
        </w:rPr>
      </w:pPr>
      <w:r>
        <w:rPr>
          <w:rFonts w:ascii="Times New Roman" w:cs="Times New Roman" w:eastAsia="Times New Roman" w:hAnsi="Times New Roman"/>
          <w:sz w:val="14"/>
          <w:szCs w:val="14"/>
          <w:color w:val="auto"/>
        </w:rPr>
        <w:t>Additionally, we maintained an effective shelf registration statement for the sale of up to an aggregate of $150,000,000 of Class A Common Stock to allow us to conduct future offerings as capital needs arise. As of the date of this prospectus supplement, this shelf registration statement has been fully utilized.</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issuance or resale, or the expected or potential issuance or resale, of a substantial number of shares of our Class A Common Stock—whether through the conversion of existing debt or future opportunistic capital raises—could adversely affect the market price for our Class A Common Stock and make it more difficult for you to sell your shares at times and prices that you feel are appropriate.</w:t>
      </w:r>
    </w:p>
    <w:p>
      <w:pPr>
        <w:spacing w:after="0" w:line="136"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Any convertible or exchangeable securities that we issue in the future may have rights, preferences, and privileges more favorable than those of our Class A Common Stock and may result in dilution of owners of our Class A Common Stock. We and, indirectly, our stockholders, will bear the cost of issuing and servicing such securities. Upon liquidation, holders of our debt securities and preferred stock (if any), and lenders with respect to other borrowings, will receive a distribution of our available assets prior to the holders of our Class A Common Stock. Additional equity offerings may dilute the holdings of our existing stockholders or reduce the market price of our Class A Common Stock, or both. Any preferred stock we issue in the future could have a preference on liquidating distributions or a preference on dividend payments that could limit our ability to make a dividend distribution to the holders of our Class A Common Stock. Because our decision to issue securities in any future offering will depend on market conditions and other factors beyond our control, we cannot predict or estimate the amount, timing, or nature of our future offerings. Thus, holders of our Class A Common Stock bear the risk of our future offerings reducing the market price of our Class A Common Stock and diluting their ownership interest in us.</w:t>
      </w:r>
    </w:p>
    <w:p>
      <w:pPr>
        <w:spacing w:after="0" w:line="14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Because there are no current plans to pay cash dividends on shares of Common Stock for the foreseeable future, you may not receive any return on investment unless you sell your shares of Common Stock at a price greater than what you paid for them.</w:t>
      </w:r>
    </w:p>
    <w:p>
      <w:pPr>
        <w:spacing w:after="0" w:line="123"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The Company currently expects to retain all future earnings for use in the operation and expansion of its business and does not plan to pay any dividends on its Common Stock in the near future. The declaration and payment of any dividends in the future will be determined by the Board in its discretion, and will depend on a number of factors, including our earnings, capital requirements, overall financial condition, applicable law and contractual restrictions. As a result, you may not receive any return on an investment in the shares of Common Stock unless you sell such shares for a price greater than that which you paid for it.</w:t>
      </w:r>
    </w:p>
    <w:p>
      <w:pPr>
        <w:spacing w:after="0" w:line="13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our charter documents and under Delaware law could make an acquisition of our company more difficult, limit attempts by our stockholders to replace or remove members of our Board or current management and may adversely affect the market price of our common stock.</w:t>
      </w:r>
    </w:p>
    <w:p>
      <w:pPr>
        <w:spacing w:after="0" w:line="123"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Following the Domestication, our Delaware certificate of incorporation and bylaws contain certain provisions that could delay or prevent a change in control of our company. These provisions could also make it difficult for stockholders to elect directors that are not nominated by the current members of our Board or take other corporate actions, including effecting changes in our management. These provisions include:</w:t>
      </w:r>
    </w:p>
    <w:p>
      <w:pPr>
        <w:spacing w:after="0" w:line="136" w:lineRule="exact"/>
        <w:rPr>
          <w:sz w:val="20"/>
          <w:szCs w:val="20"/>
          <w:color w:val="auto"/>
        </w:rPr>
      </w:pPr>
    </w:p>
    <w:p>
      <w:pPr>
        <w:ind w:left="760" w:hanging="251"/>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with three-year staggered terms, which could delay the ability of stockholders to change the membership of a majority of our Board;</w:t>
      </w:r>
    </w:p>
    <w:p>
      <w:pPr>
        <w:spacing w:after="0" w:line="175"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16" w:name="page17"/>
    <w:bookmarkEnd w:id="16"/>
    <w:p>
      <w:pPr>
        <w:ind w:left="760" w:hanging="251"/>
        <w:spacing w:after="0" w:line="283"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to elect a director to fill a vacancy created by the expansion of our Board or the resignation, death or removal of a director, which prevents stockholders from being able to fill vacancies on our Board;</w:t>
      </w:r>
    </w:p>
    <w:p>
      <w:pPr>
        <w:spacing w:after="0" w:line="124"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(unless unanimous), which may force stockholder action to be taken at an annual or special meeting of our stockholders;</w:t>
      </w:r>
    </w:p>
    <w:p>
      <w:pPr>
        <w:spacing w:after="0" w:line="175" w:lineRule="exact"/>
        <w:rPr>
          <w:rFonts w:ascii="Times New Roman" w:cs="Times New Roman" w:eastAsia="Times New Roman" w:hAnsi="Times New Roman"/>
          <w:sz w:val="14"/>
          <w:szCs w:val="14"/>
          <w:color w:val="auto"/>
        </w:rPr>
      </w:pPr>
    </w:p>
    <w:p>
      <w:pPr>
        <w:jc w:val="both"/>
        <w:ind w:left="760" w:hanging="251"/>
        <w:spacing w:after="0" w:line="261"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or at the direction of the Board, acting pursuant to a resolution adopted by the affirmative vote the majority of the total number of directors then in office, or by the chairperson of the Board (who is required to call such meeting whenever requested in writing by stockholders representing at least 30% of the voting power of the outstanding voting stock), which could delay the ability of our stockholders to force consideration of a proposal or to take action, including the removal of directors;</w:t>
      </w:r>
    </w:p>
    <w:p>
      <w:pPr>
        <w:spacing w:after="0" w:line="140"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by majority vote, to amend our bylaws, which may allow our Board to take additional actions to prevent an unsolicited takeover and inhibit the ability of an acquirer to amend our bylaws to facilitate an unsolicited takeover attempt;</w:t>
      </w:r>
    </w:p>
    <w:p>
      <w:pPr>
        <w:spacing w:after="0" w:line="124"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124" w:lineRule="exact"/>
        <w:rPr>
          <w:rFonts w:ascii="Times New Roman" w:cs="Times New Roman" w:eastAsia="Times New Roman" w:hAnsi="Times New Roman"/>
          <w:sz w:val="14"/>
          <w:szCs w:val="14"/>
          <w:color w:val="auto"/>
        </w:rPr>
      </w:pPr>
    </w:p>
    <w:p>
      <w:pPr>
        <w:jc w:val="both"/>
        <w:ind w:left="760" w:hanging="251"/>
        <w:spacing w:after="0" w:line="256"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have opted out of Section 203 of the DGCL, our Delaware certificate of incorporation includes a prohibition on engaging in any business combination (as defined in our Delaware certificate of incorporation) with an “interested stockholder” for a period of three years subsequent to the time that the stockholder became an interested stockholder, unless (1) prior to such time, the Board approves the business combination or the transaction in which the stockholder became an interested stockholder, (2) upon completion of the transaction that resulted in the stockholder becoming an interested stockholder, the interested stockholder owns at least 85% of the outstanding voting stock (with certain exclusions), or (3) at or after the person becomes an interested stockholder, the business combination is approved by the Board and authorized by a vote of at least 66 2/3% of the outstanding voting stock not owned by the interested stockholder (our Delaware certificate of incorporation provides that the Liberty Investor, Cantor Fitzgerald L.P. and Emiliano Kargieman and any of their respective affiliates and associates will not constitute “interested stockholders” for purposes of these provisions).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These provisions, alone or together, could delay or prevent hostile takeovers and changes in control or changes in the Board or management.</w:t>
      </w:r>
    </w:p>
    <w:p>
      <w:pPr>
        <w:spacing w:after="0" w:line="175"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Any provision of the Company’s governing documents or Delaware law that has the effect of delaying or preventing a change in control could limit the opportunity for stockholders to receive a premium for their shares of Class A Common Stock and could also affect the price that some investors are willing to pay for shares of Class A Common Stock.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Unless we state otherwise in an applicable prospectus supplement, we intend to use the net proceeds from the sale of the securities offered by us under this prospectus for general corporate purposes. General corporate purposes may include additions to working capital, financing of capital expenditures, repayment or redemption of existing indebtedness, repurchases of stock and future acquisitions and strategic investment opportunities. Unless we state otherwise in an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Company has never declared or paid any cash dividends and has no plan to declare or pay any dividends on its Class A Common Stock in the foreseeable future. The Company currently intends to retain any earnings for future operations and expansion of its business. The declaration and payment of any dividends in the future will be determined by the Board in its discretion, and will depend on a number of factors, including our earnings, capital requirements, overall financing condition, applicable law and contractual restrictions.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following is a discussion of certain U.S. federal income tax consequences for U.S. holders and non-U.S. holders (each as defined below) relating to the acquisition, ownership and disposition of Class A Common Stock. This discussion addresses only those holders that hold their Class A Common Stock as capital assets within the meaning of Section 1221 of the Code (generally, property held for investment).</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This discussion does not address all U.S. federal income tax consequences that may be relevant to a holder’s particular circumstances, including the impact of the Medicare contribution tax on net investment income. In addition, it does not address consequences relevant to holders subject to special rules, including, without limitation:</w:t>
      </w:r>
    </w:p>
    <w:p>
      <w:pPr>
        <w:spacing w:after="0" w:line="125" w:lineRule="exact"/>
        <w:rPr>
          <w:sz w:val="20"/>
          <w:szCs w:val="20"/>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Class A Common Stock as part of a hedge, straddle or other risk reduction strategy or as part of a conversion transaction or other integrated transaction;</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Class A Common Stock being taken into account in an applicable financial statement;</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whose functional currency is not the U.S. dollar;</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actually, or through attribution, owning 5% or more (by vote or value) of the Class A Common Stock;</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or real estate investment trusts;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S corporations or other pass-through entities or their partners, stockholders or other beneficial owners;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retirement plans, individual retirement accounts or other tax-deferred accounts; and</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897(1)(2) of the Code, and entities all of the interests of which are held by qualified foreign pension funds.</w:t>
      </w:r>
    </w:p>
    <w:p>
      <w:pPr>
        <w:spacing w:after="0" w:line="17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If an entity or arrangement is treated as a partnership for U.S. federal income tax purposes, the tax treatment of the persons treated as partners will generally depend on the status of the partners, the activities of the partnership and certain determinations made at the partner level. Accordingly, partnerships (or other entities or arrangements treated as partnerships for U.S. federal income tax purposes) and the persons treated as partners in such partnerships (or such other entities or arrangements) should consult their own tax advisors regarding the U.S. federal income tax consequences to them relating to the matters discussed below.</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4"/>
          <w:szCs w:val="14"/>
          <w:color w:val="auto"/>
        </w:rPr>
        <w:t>For purposes of this discussion, a “U.S. holder” is a beneficial owner of shares of Class A Common Stock that is, for U.S. federal income tax purposes:</w:t>
      </w:r>
    </w:p>
    <w:p>
      <w:pPr>
        <w:spacing w:after="0" w:line="175" w:lineRule="exact"/>
        <w:rPr>
          <w:sz w:val="20"/>
          <w:szCs w:val="20"/>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organized in or under the laws of the United States, any state thereof or the District of Columbia,</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75" w:lineRule="exact"/>
        <w:rPr>
          <w:rFonts w:ascii="Times New Roman" w:cs="Times New Roman" w:eastAsia="Times New Roman" w:hAnsi="Times New Roman"/>
          <w:sz w:val="14"/>
          <w:szCs w:val="14"/>
          <w:color w:val="auto"/>
        </w:rPr>
      </w:pPr>
    </w:p>
    <w:p>
      <w:pPr>
        <w:ind w:left="500" w:hanging="244"/>
        <w:spacing w:after="0" w:line="283"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entity treated as a trust that (1) is subject to the primary supervision of a U.S. court and the control of one or more “United States persons” (within the meaning of Section 7701(a)(30) of the Code) or (2) was in existence on August 20, 1996 and has a valid election in effect to be treated as a United States person for U.S. federal income tax purposes.</w:t>
      </w:r>
    </w:p>
    <w:p>
      <w:pPr>
        <w:spacing w:after="0" w:line="12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Also, for purposes of this discussion, a “non-U.S. holder” is any beneficial owner of Class A Common Stock who or that is neither a U.S. holder nor an entity or arrangement classified as a partnership for U.S. federal income tax purposes.</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estate or gift tax laws) or any state, local or non-U.S. tax laws.</w:t>
      </w:r>
    </w:p>
    <w:p>
      <w:pPr>
        <w:spacing w:after="0" w:line="134" w:lineRule="exact"/>
        <w:rPr>
          <w:sz w:val="20"/>
          <w:szCs w:val="20"/>
          <w:color w:val="auto"/>
        </w:rPr>
      </w:pPr>
    </w:p>
    <w:p>
      <w:pPr>
        <w:jc w:val="both"/>
        <w:ind w:firstLine="505"/>
        <w:spacing w:after="0" w:line="262"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ARISING UNDER THE U.S. FEDERAL ESTATE OR GIFT TAX LAWS OR UNDER THE LAWS OF ANY STATE, LOCAL OR NON-U.S. TAXING JURISDICTION OR UNDER ANY APPLICABLE INCOME TAX TREATY.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 and Other Distributions on Class A Common Stock</w:t>
      </w:r>
    </w:p>
    <w:p>
      <w:pPr>
        <w:spacing w:after="0" w:line="175"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As described in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 above, we have no plan to declare or pay any dividends on our Class A Common Stock in the foreseeable future. Distributions (including, for the avoidance of doubt and for the purpose of the balance of this discussion, deemed distributions) on Class A Common Stock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below under the heading “-</w:t>
      </w:r>
      <w:r>
        <w:rPr>
          <w:rFonts w:ascii="Times New Roman" w:cs="Times New Roman" w:eastAsia="Times New Roman" w:hAnsi="Times New Roman"/>
          <w:sz w:val="14"/>
          <w:szCs w:val="14"/>
          <w:i w:val="1"/>
          <w:iCs w:val="1"/>
          <w:color w:val="auto"/>
        </w:rPr>
        <w:t>Sale, Taxable Exchange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Other Taxable Disposition of Class A Common Stock.</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Dividends paid to a U.S. holder that is treated as a taxable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may constitute “qualified dividend income” that will be subject to tax at reduced rates accorded to long-term capital gains.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Sale, Taxable Exchange or Other Taxable Disposition of Class A Common Stock</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Upon any sale, exchange or other taxable disposition of Class A Common Stock, a U.S. holder generally will recognize gain or loss in an amount equal to the difference between (i) the sum of</w:t>
      </w:r>
    </w:p>
    <w:p>
      <w:pPr>
        <w:spacing w:after="0" w:line="22" w:lineRule="exact"/>
        <w:rPr>
          <w:sz w:val="20"/>
          <w:szCs w:val="20"/>
          <w:color w:val="auto"/>
        </w:rPr>
      </w:pPr>
    </w:p>
    <w:p>
      <w:pPr>
        <w:jc w:val="both"/>
        <w:ind w:firstLine="4"/>
        <w:spacing w:after="0" w:line="254" w:lineRule="auto"/>
        <w:tabs>
          <w:tab w:leader="none" w:pos="21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and (y) the fair market value of any other property received in such sale, exchange or other taxable disposition and (ii) the U.S. holder’s adjusted tax basis in such Class A Common Stock. Any gain or loss recognized on the sale, exchange or other taxable disposition of Class A Common Stock generally will be capital gain or loss and will be long-term capital gain or loss if the U.S. holder’s holding period for such Class A Common Stock exceeds one year. Long-term capital gain realized by a non-corporate U.S. holder generally will be taxable at a reduced rate. The deduction of capital losses is subject to limitations.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Reporting, Backup Withholding and Additional Reporting Requirements</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Distributions with respect to Class A Common Stock and proceeds from the sale, exchange or redemption of Class A Common Stock may be subject to information reporting filed with the IRS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Backup withholding is not an additional tax. Any amounts withheld under the backup withholding rules may be allowed as a refund or a credit against a U.S. holder’s federal income tax liability provided that the required information is timely furnished to the IRS.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 and Other Distributions on Class A Common Stock</w:t>
      </w:r>
    </w:p>
    <w:p>
      <w:pPr>
        <w:spacing w:after="0" w:line="177"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In general, a non-U.S. holder that receives any distributions on Class A Common Stock that constitute dividends for U.S. federal income tax purposes (determined in the manner described above under “-</w:t>
      </w:r>
      <w:r>
        <w:rPr>
          <w:rFonts w:ascii="Times New Roman" w:cs="Times New Roman" w:eastAsia="Times New Roman" w:hAnsi="Times New Roman"/>
          <w:sz w:val="14"/>
          <w:szCs w:val="14"/>
          <w:i w:val="1"/>
          <w:iCs w:val="1"/>
          <w:color w:val="auto"/>
        </w:rPr>
        <w:t>U.S. 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Dividends and Other Distributions on Class A Common Stock</w:t>
      </w:r>
      <w:r>
        <w:rPr>
          <w:rFonts w:ascii="Times New Roman" w:cs="Times New Roman" w:eastAsia="Times New Roman" w:hAnsi="Times New Roman"/>
          <w:sz w:val="14"/>
          <w:szCs w:val="14"/>
          <w:color w:val="auto"/>
        </w:rPr>
        <w:t xml:space="preserve">”) will be subject to U.S. withholding tax at a 30% rate, unless the dividends are effectively connected with the non-U.S. holder’s conduct of a trade or business within the United States or the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Class A Common Stock and, to the extent such distribution exceeds the non-U.S. holder’s adjusted tax basis, as gain realized from the sale or other disposition of Class A Common Stock, which will be treated as described below under the section entitled “- </w:t>
      </w:r>
      <w:r>
        <w:rPr>
          <w:rFonts w:ascii="Times New Roman" w:cs="Times New Roman" w:eastAsia="Times New Roman" w:hAnsi="Times New Roman"/>
          <w:sz w:val="14"/>
          <w:szCs w:val="14"/>
          <w:i w:val="1"/>
          <w:iCs w:val="1"/>
          <w:color w:val="auto"/>
        </w:rPr>
        <w:t>Sale, Taxable Exchange or Other Taxable Disposition of Class A Common Stock</w:t>
      </w:r>
      <w:r>
        <w:rPr>
          <w:rFonts w:ascii="Times New Roman" w:cs="Times New Roman" w:eastAsia="Times New Roman" w:hAnsi="Times New Roman"/>
          <w:sz w:val="14"/>
          <w:szCs w:val="14"/>
          <w:color w:val="auto"/>
        </w:rPr>
        <w:t xml:space="preserve">”. In addition, if Satellogic determines that it is likely to be classified as a “United States real property holding corporation” (see the section entitled “- </w:t>
      </w:r>
      <w:r>
        <w:rPr>
          <w:rFonts w:ascii="Times New Roman" w:cs="Times New Roman" w:eastAsia="Times New Roman" w:hAnsi="Times New Roman"/>
          <w:sz w:val="14"/>
          <w:szCs w:val="14"/>
          <w:i w:val="1"/>
          <w:iCs w:val="1"/>
          <w:color w:val="auto"/>
        </w:rPr>
        <w:t>Sale, Taxable Exchange or Other Taxable Disposition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Class A Common Stock</w:t>
      </w:r>
      <w:r>
        <w:rPr>
          <w:rFonts w:ascii="Times New Roman" w:cs="Times New Roman" w:eastAsia="Times New Roman" w:hAnsi="Times New Roman"/>
          <w:sz w:val="14"/>
          <w:szCs w:val="14"/>
          <w:color w:val="auto"/>
        </w:rPr>
        <w:t>” below), the applicable withholding agent may withhold fifteen (15%) of any distribution that exceeds Satellogic’s current and accumulated earnings and profits.</w:t>
      </w:r>
    </w:p>
    <w:p>
      <w:pPr>
        <w:spacing w:after="0" w:line="14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The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non-U.S. holder that is treated as a foreign corporation for U.S. federal income tax purposes receiving effectively connected dividends may also be subject to an additional “branch profits tax” imposed at a rate of thirty percent (30%) (or a lower applicable treaty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 Taxable Exchange or other Taxable Disposition of Class A Common Stock</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Subject to the discussion below concerning backup withholding, non-U.S. holders generally will not be subject to U.S. federal income tax or withholding tax on any gain realized upon the sale, exchange or other disposition of Class A Common Stock, unless:</w:t>
      </w:r>
    </w:p>
    <w:p>
      <w:pPr>
        <w:spacing w:after="0" w:line="125" w:lineRule="exact"/>
        <w:rPr>
          <w:sz w:val="20"/>
          <w:szCs w:val="20"/>
          <w:color w:val="auto"/>
        </w:rPr>
      </w:pPr>
    </w:p>
    <w:p>
      <w:pPr>
        <w:ind w:left="500" w:hanging="244"/>
        <w:spacing w:after="0" w:line="283"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 U.S. holder maintains a permanent establishment or fixed place of business in the United States to which such gain is attributable);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22" w:name="page23"/>
    <w:bookmarkEnd w:id="22"/>
    <w:p>
      <w:pPr>
        <w:ind w:left="500" w:hanging="244"/>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175" w:lineRule="exact"/>
        <w:rPr>
          <w:rFonts w:ascii="Times New Roman" w:cs="Times New Roman" w:eastAsia="Times New Roman" w:hAnsi="Times New Roman"/>
          <w:sz w:val="14"/>
          <w:szCs w:val="14"/>
          <w:color w:val="auto"/>
        </w:rPr>
      </w:pPr>
    </w:p>
    <w:p>
      <w:pPr>
        <w:ind w:left="500" w:hanging="244"/>
        <w:spacing w:after="0" w:line="283"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Satellogic is or has been a “United States real property holding corporation” (a “USRPHC”) for U.S. federal income tax purposes at any time during the shorter of the five-year period ending on the date of disposition or the non-U.S. holder’s holding period for the Class A Common Stock being disposed of.</w:t>
      </w:r>
    </w:p>
    <w:p>
      <w:pPr>
        <w:spacing w:after="0" w:line="125"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We believe that we are not currently and will not become a USRPHC for U.S. federal income tax purposes and the remainder of this discussion assumes that we are not, and will not become, a USRPHC. However, there can be no assurance that we will not become a USRPHC in the future. Even if we become a USRPHC, as long as Class A Common Stock is “regularly traded” on an established securities market, a non-US holder that has not owned (directly, indirectly or under applicable constructive ownership rules) more than 5% of the Class A Common Stock at any time during the shorter of the five-year period preceding the disposition of, or its holding period for, the Class A Common Stock generally will not be subject to U.S. federal income tax or withholding tax on the disposition. However, no assurance can be provided that Class A Common Stock will be considered to be regularly traded on an established securities market for purposes of the rules described above. Non-U.S. holders should consult their tax advisors regarding the potential U.S. federal income tax consequences to them if we were to become a USRPHC.</w:t>
      </w:r>
    </w:p>
    <w:p>
      <w:pPr>
        <w:spacing w:after="0" w:line="143"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graduated rates. A non-U.S. holder that is a corporation may also be subject to a branch profits tax at a rate of 30% (or such lower rate specified by an applicable income tax treaty) on such effectively connected gain, as adjusted for certain items.</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Distributions on Class A Common Stock and amounts received with respect to the sale or other disposition of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may be filed with the IRS in connection with any payments of dividends on Class A Common Stock paid to the non-U.S. holder or amounts received with respect to the sale or other disposition of Class A Common Stock by the non-U.S. holder, regardless of whether any tax was actually withheld.</w:t>
      </w:r>
    </w:p>
    <w:p>
      <w:pPr>
        <w:spacing w:after="0" w:line="144"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be made available under the provisions of an applicable treaty or agreement to the tax authorities of the country in which the non-U.S. holder resides or is established. Backup withholding is not an additional tax. Any amounts withheld under the backup withholding rules may be allowed as a refund or a credit against a non-U.S. holder’s U.S. federal income tax liability, provided that the required information is timely furnished to the IRS.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Account Tax Compliance Act</w:t>
      </w:r>
    </w:p>
    <w:p>
      <w:pPr>
        <w:spacing w:after="0" w:line="175"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Provisions commonly referred to as “</w:t>
      </w:r>
      <w:r>
        <w:rPr>
          <w:rFonts w:ascii="Times New Roman" w:cs="Times New Roman" w:eastAsia="Times New Roman" w:hAnsi="Times New Roman"/>
          <w:sz w:val="14"/>
          <w:szCs w:val="14"/>
          <w:b w:val="1"/>
          <w:bCs w:val="1"/>
          <w:color w:val="auto"/>
        </w:rPr>
        <w:t>FATCA</w:t>
      </w:r>
      <w:r>
        <w:rPr>
          <w:rFonts w:ascii="Times New Roman" w:cs="Times New Roman" w:eastAsia="Times New Roman" w:hAnsi="Times New Roman"/>
          <w:sz w:val="14"/>
          <w:szCs w:val="14"/>
          <w:color w:val="auto"/>
        </w:rPr>
        <w:t>” impose withholding of thirty percent (30%) on payments of U.S.-source dividends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Thirty percent (30%) withholding under FATCA was scheduled to apply to payments of gross proceeds from the sale or other disposition of property that produces U.S.-source interest or dividends beginning on January 1, 2019, but on December 13, 2018, the IRS released proposed Treasury Regulations that, if finalized in their proposed form, would eliminate the obligation to withhold on gross proceeds.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ownership and disposition of Class A Common Stock.</w:t>
      </w:r>
    </w:p>
    <w:p>
      <w:pPr>
        <w:spacing w:after="0" w:line="143" w:lineRule="exact"/>
        <w:rPr>
          <w:sz w:val="20"/>
          <w:szCs w:val="20"/>
          <w:color w:val="auto"/>
        </w:rPr>
      </w:pPr>
    </w:p>
    <w:p>
      <w:pPr>
        <w:jc w:val="both"/>
        <w:ind w:firstLine="505"/>
        <w:spacing w:after="0" w:line="262" w:lineRule="auto"/>
        <w:rPr>
          <w:sz w:val="20"/>
          <w:szCs w:val="20"/>
          <w:color w:val="auto"/>
        </w:rPr>
      </w:pPr>
      <w:r>
        <w:rPr>
          <w:rFonts w:ascii="Times New Roman" w:cs="Times New Roman" w:eastAsia="Times New Roman" w:hAnsi="Times New Roman"/>
          <w:sz w:val="14"/>
          <w:szCs w:val="14"/>
          <w:b w:val="1"/>
          <w:bCs w:val="1"/>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ACQUISITION, OWNERSHIP AND DISPOSITION OF CLASS A COMMON STOCK INCLUDING THE TAX CONSEQUENCES UNDER STATE, LOCAL, ESTATE, FOREIGN AND OTHER TAX LAWS AND TAX TREATIES AND THE POSSIBLE EFFECTS OF CHANGES IN U.S. OR OTHER TAX LAWS.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23" w:name="page24"/>
    <w:bookmarkEnd w:id="23"/>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may use any one or more of the following methods when selling the securities offered hereby:</w:t>
      </w:r>
    </w:p>
    <w:p>
      <w:pPr>
        <w:spacing w:after="0" w:line="175" w:lineRule="exact"/>
        <w:rPr>
          <w:sz w:val="20"/>
          <w:szCs w:val="20"/>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investors, including through a specific bidding, auction or other process;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investors through agents;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agents;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brokers or dealers;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public through underwriting syndicates led by one or more managing underwriters;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one or more underwriters acting alone for resale to investors or to the public;</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to or through a market maker or into an existing trading market, or a securities exchange or otherwise;</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forward or other derivative transactions relating to the securities being registered hereunder;</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 of sale; or</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Any underwritten offering may be on a best efforts or a firm commitment basis. 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Sales of the securities may be effected from time to time in one or more transactions, including negotiated transactions:</w:t>
      </w:r>
    </w:p>
    <w:p>
      <w:pPr>
        <w:spacing w:after="0" w:line="175" w:lineRule="exact"/>
        <w:rPr>
          <w:sz w:val="20"/>
          <w:szCs w:val="20"/>
          <w:color w:val="auto"/>
        </w:rPr>
      </w:pPr>
    </w:p>
    <w:p>
      <w:pPr>
        <w:ind w:left="760" w:hanging="251"/>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Any of the prices may represent a discount from the then prevailing market prices.</w:t>
      </w:r>
    </w:p>
    <w:p>
      <w:pPr>
        <w:spacing w:after="0" w:line="17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24" w:name="page25"/>
    <w:bookmarkEnd w:id="24"/>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prospectus supplement will, where applicable:</w:t>
      </w:r>
    </w:p>
    <w:p>
      <w:pPr>
        <w:spacing w:after="0" w:line="175" w:lineRule="exact"/>
        <w:rPr>
          <w:sz w:val="20"/>
          <w:szCs w:val="20"/>
          <w:color w:val="auto"/>
        </w:rPr>
      </w:pPr>
    </w:p>
    <w:p>
      <w:pPr>
        <w:ind w:left="760" w:hanging="251"/>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describe the terms of the offering;</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any such underwriter, dealer or agent;</w:t>
      </w:r>
    </w:p>
    <w:p>
      <w:pPr>
        <w:spacing w:after="0" w:line="175" w:lineRule="exact"/>
        <w:rPr>
          <w:rFonts w:ascii="Times New Roman" w:cs="Times New Roman" w:eastAsia="Times New Roman" w:hAnsi="Times New Roman"/>
          <w:sz w:val="14"/>
          <w:szCs w:val="14"/>
          <w:color w:val="auto"/>
        </w:rPr>
      </w:pPr>
    </w:p>
    <w:p>
      <w:pPr>
        <w:ind w:left="760" w:right="180" w:hanging="251"/>
        <w:spacing w:after="0" w:line="283" w:lineRule="auto"/>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describe any compensation in the form of discounts, concessions, commissions or otherwise received from us by each such underwriter or agent and in the aggregate by all underwriters and agents;</w:t>
      </w:r>
    </w:p>
    <w:p>
      <w:pPr>
        <w:spacing w:after="0" w:line="124"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describe the purchase price or the public offering price of the securities;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amounts underwritten; and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nature of the underwriter’s or underwriters’ obligation to take the securities.</w:t>
      </w:r>
    </w:p>
    <w:p>
      <w:pPr>
        <w:spacing w:after="0" w:line="17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Any Class A Common Stock sold pursuant to a prospectus supplement will be listed on Nasdaq, subject to official notice of issuance.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With respect to any at-the-market offering, we may offer the securities into an existing trading market on the terms described in a prospectus supplement relating thereto. Underwriters, dealers and agents who participate in any at-the-market offerings will be described in the prospectus supplement relating thereto.</w:t>
      </w:r>
    </w:p>
    <w:p>
      <w:pPr>
        <w:spacing w:after="0" w:line="12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disclosed in an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w:t>
      </w:r>
    </w:p>
    <w:p>
      <w:pPr>
        <w:spacing w:after="0" w:line="144"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25" w:name="page26"/>
    <w:bookmarkEnd w:id="25"/>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w:t>
      </w:r>
    </w:p>
    <w:p>
      <w:pPr>
        <w:spacing w:after="0" w:line="12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Under agreements into which we may enter, underwriters, dealers and agents who participate in the distribution of the securities may be entitled to indemnification by us against our contribution towards certain civil liabilities, including liabilities under the applicable securities laws.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Underwriters, dealers and agents may engage in transactions with us, perform services for us or be our tenants in the ordinary course of business.</w:t>
      </w:r>
    </w:p>
    <w:p>
      <w:pPr>
        <w:spacing w:after="0" w:line="175"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If indicated in an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w:t>
      </w:r>
    </w:p>
    <w:p>
      <w:pPr>
        <w:spacing w:after="0" w:line="14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Underwriters, dealers or agents that participate in the offer of securities, or their affiliates or associates, may have engaged or engage in transactions with and perform services for us or our affiliates in the ordinary course of business for which they may have received or receive customary fees and reimbursement of expenses.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26" w:name="page27"/>
    <w:bookmarkEnd w:id="26"/>
    <w:p>
      <w:pPr>
        <w:ind w:left="45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validity of the Class A Common Stock has been passed upon by King &amp; Spalding LLP, Atlanta, GA, counsel to the Company.</w:t>
      </w:r>
    </w:p>
    <w:p>
      <w:pPr>
        <w:spacing w:after="0" w:line="1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67310</wp:posOffset>
            </wp:positionV>
            <wp:extent cx="716280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9659"/>
          </w:cols>
          <w:pgMar w:left="800" w:top="48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consolidated financial statements of Satellogic Inc. appearing in Satellogic Inc.'s Annual Report (Form 10-K) for the years ended December 31, 2025 and 2024, have been audited by Ernst</w:t>
      </w:r>
    </w:p>
    <w:p>
      <w:pPr>
        <w:spacing w:after="0" w:line="22" w:lineRule="exact"/>
        <w:rPr>
          <w:sz w:val="20"/>
          <w:szCs w:val="20"/>
          <w:color w:val="auto"/>
        </w:rPr>
      </w:pPr>
    </w:p>
    <w:p>
      <w:pPr>
        <w:ind w:firstLine="4"/>
        <w:spacing w:after="0" w:line="261" w:lineRule="auto"/>
        <w:tabs>
          <w:tab w:leader="none" w:pos="1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 xml:space="preserve">We file current, annual and periodic reports and other information from time to time with the SEC in accordance with such requirements. Our SEC filings will be available to the public on the internet at a website maintained by the SEC located at </w:t>
      </w:r>
      <w:r>
        <w:rPr>
          <w:rFonts w:ascii="Times New Roman" w:cs="Times New Roman" w:eastAsia="Times New Roman" w:hAnsi="Times New Roman"/>
          <w:sz w:val="14"/>
          <w:szCs w:val="14"/>
          <w:i w:val="1"/>
          <w:iCs w:val="1"/>
          <w:color w:val="auto"/>
        </w:rPr>
        <w:t>www.sec.gov.</w:t>
      </w:r>
    </w:p>
    <w:p>
      <w:pPr>
        <w:spacing w:after="0" w:line="123" w:lineRule="exact"/>
        <w:rPr>
          <w:sz w:val="20"/>
          <w:szCs w:val="20"/>
          <w:color w:val="auto"/>
        </w:rPr>
      </w:pPr>
    </w:p>
    <w:p>
      <w:pPr>
        <w:ind w:firstLine="505"/>
        <w:spacing w:after="0" w:line="286" w:lineRule="auto"/>
        <w:rPr>
          <w:sz w:val="20"/>
          <w:szCs w:val="20"/>
          <w:color w:val="auto"/>
        </w:rPr>
      </w:pPr>
      <w:r>
        <w:rPr>
          <w:rFonts w:ascii="Times New Roman" w:cs="Times New Roman" w:eastAsia="Times New Roman" w:hAnsi="Times New Roman"/>
          <w:sz w:val="14"/>
          <w:szCs w:val="14"/>
          <w:color w:val="auto"/>
        </w:rPr>
        <w:t xml:space="preserve">We also maintain an Internet website at </w:t>
      </w:r>
      <w:r>
        <w:rPr>
          <w:rFonts w:ascii="Times New Roman" w:cs="Times New Roman" w:eastAsia="Times New Roman" w:hAnsi="Times New Roman"/>
          <w:sz w:val="14"/>
          <w:szCs w:val="14"/>
          <w:i w:val="1"/>
          <w:iCs w:val="1"/>
          <w:color w:val="auto"/>
        </w:rPr>
        <w:t>www.satellogic.com.</w:t>
      </w:r>
      <w:r>
        <w:rPr>
          <w:rFonts w:ascii="Times New Roman" w:cs="Times New Roman" w:eastAsia="Times New Roman" w:hAnsi="Times New Roman"/>
          <w:sz w:val="14"/>
          <w:szCs w:val="14"/>
          <w:color w:val="auto"/>
        </w:rPr>
        <w:t xml:space="preserve"> We will make available, free of charge, the following documents as soon as reasonably practicable after they are electronically filed with, or furnished to, the SEC. The information contained on, or that may be accessed through, our website is not part of, and is not incorporated into, this prospectus.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that we file with them,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44"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125" w:lineRule="exact"/>
        <w:rPr>
          <w:sz w:val="20"/>
          <w:szCs w:val="20"/>
          <w:color w:val="auto"/>
        </w:rPr>
      </w:pPr>
    </w:p>
    <w:p>
      <w:pPr>
        <w:ind w:left="760" w:hanging="251"/>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2025 filed with the SEC on </w:t>
      </w:r>
      <w:hyperlink r:id="rId37">
        <w:r>
          <w:rPr>
            <w:rFonts w:ascii="Times New Roman" w:cs="Times New Roman" w:eastAsia="Times New Roman" w:hAnsi="Times New Roman"/>
            <w:sz w:val="14"/>
            <w:szCs w:val="14"/>
            <w:u w:val="single" w:color="auto"/>
            <w:color w:val="0000EE"/>
          </w:rPr>
          <w:t>March 19, 2026</w:t>
        </w:r>
      </w:hyperlink>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8">
        <w:r>
          <w:rPr>
            <w:rFonts w:ascii="Times New Roman" w:cs="Times New Roman" w:eastAsia="Times New Roman" w:hAnsi="Times New Roman"/>
            <w:sz w:val="14"/>
            <w:szCs w:val="14"/>
            <w:u w:val="single" w:color="auto"/>
            <w:color w:val="0000EE"/>
          </w:rPr>
          <w:t>January 12, 2026</w:t>
        </w:r>
      </w:hyperlink>
      <w:r>
        <w:rPr>
          <w:rFonts w:ascii="Times New Roman" w:cs="Times New Roman" w:eastAsia="Times New Roman" w:hAnsi="Times New Roman"/>
          <w:sz w:val="14"/>
          <w:szCs w:val="14"/>
          <w:color w:val="auto"/>
        </w:rPr>
        <w:t xml:space="preserve">, </w:t>
      </w:r>
      <w:hyperlink r:id="rId39">
        <w:r>
          <w:rPr>
            <w:rFonts w:ascii="Times New Roman" w:cs="Times New Roman" w:eastAsia="Times New Roman" w:hAnsi="Times New Roman"/>
            <w:sz w:val="14"/>
            <w:szCs w:val="14"/>
            <w:u w:val="single" w:color="auto"/>
            <w:color w:val="0000EE"/>
          </w:rPr>
          <w:t>January 27,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0">
        <w:r>
          <w:rPr>
            <w:rFonts w:ascii="Times New Roman" w:cs="Times New Roman" w:eastAsia="Times New Roman" w:hAnsi="Times New Roman"/>
            <w:sz w:val="14"/>
            <w:szCs w:val="14"/>
            <w:u w:val="single" w:color="auto"/>
            <w:color w:val="0000EE"/>
          </w:rPr>
          <w:t>March 9, 2026</w:t>
        </w:r>
      </w:hyperlink>
      <w:r>
        <w:rPr>
          <w:rFonts w:ascii="Times New Roman" w:cs="Times New Roman" w:eastAsia="Times New Roman" w:hAnsi="Times New Roman"/>
          <w:sz w:val="14"/>
          <w:szCs w:val="14"/>
          <w:color w:val="auto"/>
        </w:rPr>
        <w:t>; and</w:t>
      </w:r>
    </w:p>
    <w:p>
      <w:pPr>
        <w:spacing w:after="0" w:line="175" w:lineRule="exact"/>
        <w:rPr>
          <w:rFonts w:ascii="Times New Roman" w:cs="Times New Roman" w:eastAsia="Times New Roman" w:hAnsi="Times New Roman"/>
          <w:sz w:val="14"/>
          <w:szCs w:val="14"/>
          <w:color w:val="auto"/>
        </w:rPr>
      </w:pPr>
    </w:p>
    <w:p>
      <w:pPr>
        <w:ind w:left="760" w:right="260" w:hanging="251"/>
        <w:spacing w:after="0" w:line="283"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securities contained in our registration statement on Form 8-A, dated March 26, 2025, filed with the SEC on </w:t>
      </w:r>
      <w:hyperlink r:id="rId41">
        <w:r>
          <w:rPr>
            <w:rFonts w:ascii="Times New Roman" w:cs="Times New Roman" w:eastAsia="Times New Roman" w:hAnsi="Times New Roman"/>
            <w:sz w:val="14"/>
            <w:szCs w:val="14"/>
            <w:u w:val="single" w:color="auto"/>
            <w:color w:val="0000EE"/>
          </w:rPr>
          <w:t>March 26,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any amendment or report filed with the SEC for the purpose of updating the description.</w:t>
      </w:r>
    </w:p>
    <w:p>
      <w:pPr>
        <w:spacing w:after="0" w:line="125" w:lineRule="exact"/>
        <w:rPr>
          <w:rFonts w:ascii="Times New Roman" w:cs="Times New Roman" w:eastAsia="Times New Roman" w:hAnsi="Times New Roman"/>
          <w:sz w:val="14"/>
          <w:szCs w:val="14"/>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during the period after the date of the initial registration statement and prior to the effectiveness of the registration statement and after the date of this prospectus but prior to the termination of each offering of securities covered by this prospectus is completed.</w:t>
      </w:r>
    </w:p>
    <w:p>
      <w:pPr>
        <w:spacing w:after="0" w:line="136" w:lineRule="exact"/>
        <w:rPr>
          <w:rFonts w:ascii="Times New Roman" w:cs="Times New Roman" w:eastAsia="Times New Roman" w:hAnsi="Times New Roman"/>
          <w:sz w:val="14"/>
          <w:szCs w:val="14"/>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 SEC maintains an Internet website that contains reports and other information regarding issuers that file electronically with the SEC. Our filings with the SEC are also available to the public through the SEC’s website at http://www.sec.gov.</w:t>
      </w:r>
    </w:p>
    <w:p>
      <w:pPr>
        <w:spacing w:after="0" w:line="125" w:lineRule="exact"/>
        <w:rPr>
          <w:rFonts w:ascii="Times New Roman" w:cs="Times New Roman" w:eastAsia="Times New Roman" w:hAnsi="Times New Roman"/>
          <w:sz w:val="14"/>
          <w:szCs w:val="14"/>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Certain statements in and portions of this prospectus update and replace information in the above listed documents incorporated by reference. Likewise, statements in or portions of a future document (a post-effective amendment to the registration statement of which this prospectus forms a part, or a prospectus supplement to this prospectus) that we may file with the SEC may update and replace statements in and portions of this prospectus or the above-listed documents.</w:t>
      </w:r>
    </w:p>
    <w:p>
      <w:pPr>
        <w:spacing w:after="0" w:line="136" w:lineRule="exact"/>
        <w:rPr>
          <w:rFonts w:ascii="Times New Roman" w:cs="Times New Roman" w:eastAsia="Times New Roman" w:hAnsi="Times New Roman"/>
          <w:sz w:val="14"/>
          <w:szCs w:val="14"/>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this prospectus is delivered, a copy of any or all the information that has been incorporated by reference in this prospectus but not delivered with this prospectus (and any exhibits specifically incorporated in such information), at no cost, upon written or oral request to us at the following address:</w:t>
      </w:r>
    </w:p>
    <w:p>
      <w:pPr>
        <w:spacing w:after="0" w:line="12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Satellogic Inc.</w:t>
      </w:r>
    </w:p>
    <w:p>
      <w:pPr>
        <w:spacing w:after="0" w:line="22"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210 Delburg Street</w:t>
      </w:r>
    </w:p>
    <w:p>
      <w:pPr>
        <w:spacing w:after="0" w:line="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Davidson, NC 28036</w:t>
      </w:r>
    </w:p>
    <w:p>
      <w:pPr>
        <w:spacing w:after="0" w:line="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(704) 802-2041</w:t>
      </w:r>
    </w:p>
    <w:p>
      <w:pPr>
        <w:spacing w:after="0" w:line="159" w:lineRule="exact"/>
        <w:rPr>
          <w:rFonts w:ascii="Times New Roman" w:cs="Times New Roman" w:eastAsia="Times New Roman" w:hAnsi="Times New Roman"/>
          <w:sz w:val="14"/>
          <w:szCs w:val="14"/>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You may also obtain information about us by visiting our website at </w:t>
      </w:r>
      <w:r>
        <w:rPr>
          <w:rFonts w:ascii="Times New Roman" w:cs="Times New Roman" w:eastAsia="Times New Roman" w:hAnsi="Times New Roman"/>
          <w:sz w:val="14"/>
          <w:szCs w:val="14"/>
          <w:i w:val="1"/>
          <w:iCs w:val="1"/>
          <w:color w:val="auto"/>
        </w:rPr>
        <w:t>www.satellogic.com.</w:t>
      </w:r>
      <w:r>
        <w:rPr>
          <w:rFonts w:ascii="Times New Roman" w:cs="Times New Roman" w:eastAsia="Times New Roman" w:hAnsi="Times New Roman"/>
          <w:sz w:val="14"/>
          <w:szCs w:val="14"/>
          <w:color w:val="auto"/>
        </w:rPr>
        <w:t xml:space="preserve"> Information contained in our website is not part of this prospectus.</w:t>
      </w:r>
    </w:p>
    <w:p>
      <w:pPr>
        <w:spacing w:after="0" w:line="177" w:lineRule="exact"/>
        <w:rPr>
          <w:rFonts w:ascii="Times New Roman" w:cs="Times New Roman" w:eastAsia="Times New Roman" w:hAnsi="Times New Roman"/>
          <w:sz w:val="14"/>
          <w:szCs w:val="14"/>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in this prospectus or any supplement. We have not authorized anyone else to provide you with different information. You should not rely on any other representations. Our affairs may change after this prospectus or any supplement is distributed. You should not assume that the information in this prospectus or any supplement is accurate as of any date other than the date on the front of those documents. You should read all information supplementing this prospectus.</w:t>
      </w:r>
    </w:p>
    <w:p>
      <w:pPr>
        <w:spacing w:after="0" w:line="13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 following are the estimated expenses related to the filing of the registration statement of which this prospectus forms a part, all of which will be paid by us. In addition, we may incur additional expenses in the future in connection with the offering of our securities pursuant to this prospectus. If required, any such additional expenses will be disclosed in a prospectus supplement.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27,620.00</w:t>
            </w:r>
          </w:p>
        </w:tc>
      </w:tr>
      <w:tr>
        <w:trPr>
          <w:trHeight w:val="168"/>
        </w:trPr>
        <w:tc>
          <w:tcPr>
            <w:tcW w:w="798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220" w:type="dxa"/>
            <w:vAlign w:val="bottom"/>
          </w:tcPr>
          <w:p>
            <w:pPr>
              <w:spacing w:after="0"/>
              <w:rPr>
                <w:sz w:val="14"/>
                <w:szCs w:val="1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79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Miscellaneous</w:t>
            </w:r>
          </w:p>
        </w:tc>
        <w:tc>
          <w:tcPr>
            <w:tcW w:w="2220" w:type="dxa"/>
            <w:vAlign w:val="bottom"/>
          </w:tcPr>
          <w:p>
            <w:pPr>
              <w:spacing w:after="0"/>
              <w:rPr>
                <w:sz w:val="13"/>
                <w:szCs w:val="13"/>
                <w:color w:val="auto"/>
              </w:rPr>
            </w:pPr>
          </w:p>
        </w:tc>
        <w:tc>
          <w:tcPr>
            <w:tcW w:w="1080" w:type="dxa"/>
            <w:vAlign w:val="bottom"/>
          </w:tcPr>
          <w:p>
            <w:pPr>
              <w:jc w:val="right"/>
              <w:ind w:right="3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83"/>
        </w:trPr>
        <w:tc>
          <w:tcPr>
            <w:tcW w:w="7980" w:type="dxa"/>
            <w:vAlign w:val="bottom"/>
          </w:tcPr>
          <w:p>
            <w:pPr>
              <w:spacing w:after="0"/>
              <w:rPr>
                <w:sz w:val="20"/>
                <w:szCs w:val="20"/>
                <w:color w:val="auto"/>
              </w:rPr>
            </w:pPr>
            <w:r>
              <w:rPr>
                <w:rFonts w:ascii="Times New Roman" w:cs="Times New Roman" w:eastAsia="Times New Roman" w:hAnsi="Times New Roman"/>
                <w:sz w:val="14"/>
                <w:szCs w:val="14"/>
                <w:color w:val="auto"/>
              </w:rPr>
              <w:t>* These fees and expenses depend on the number of issuances and accordingly cannot be estimated at this time.</w:t>
            </w: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Section 102(b)(7) of the DGCL permits a corporation, in its certificate of incorporation, to limit or eliminate, subject to certain statutory limitations, the liability of officers and directors to the corporation or its stockholders for monetary damages for breaches of fiduciary duty, except for liability (a) for any breach of the director’s or officer’s duty of loyalty to the corporation or its stockholders, (b) for acts or omissions not in good faith or which involve intentional misconduct or a knowing violation of law, (c) for directors, under Section 174 of the DGCL, (d) for any transaction from which the director or officer derived an improper personal benefit or (e) for officers, in any action by or in the right of the Corporation.</w:t>
      </w:r>
    </w:p>
    <w:p>
      <w:pPr>
        <w:spacing w:after="0" w:line="141"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4"/>
          <w:szCs w:val="14"/>
          <w:color w:val="auto"/>
        </w:rPr>
        <w:t>Under Section 145 of the DGCL, a corporation may indemnify a director, officer, employee or agent of the corporation (or a person who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or she acted in good faith and in a manner he or she reasonably believed to be in or not opposed to the best interests of the corporation and, with respect to any criminal action or proceeding, had no reasonable cause to believe his or her conduct was unlawful. However, in the case of an action brought by or in the right of a corporation, the corporation may indemnify a director, officer, employee or agent of the corporation (or a person who is or was serving at the request of the corporation as a director, officer, employee or agent of another corporation, partnership, joint venture, trust or other enterprise) only against expenses (including attorneys’ fees) actually and reasonably incurred by him or her if he or she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w:t>
      </w:r>
    </w:p>
    <w:p>
      <w:pPr>
        <w:spacing w:after="0" w:line="149"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Our certificate of incorporation provides that no director or officer of Satellogic shall be liable to Satellogic or its stockholders for monetary damages for breach of fiduciary duty as a director except to the extent that such exemption from liability or limitation thereof is not permitted under the DGCL as currently in effect or as the same may hereafter be amended. This provision in the certificate of incorporation does not eliminate the directors’ and officers’ fiduciary duty, and in appropriate circumstances, equitable remedies such as injunctive or other forms of non-monetary relief will remain available under Delaware law. In addition, each director and officer will be subject to liability (a) for breach of the director’s or officer’s duty of loyalty to Satellogic, (b) for acts or omissions not in good faith or involving intentional misconduct or, knowing violations of law, (c) for directors, under Section 174 of the DGCL, (d) for actions leading to improper personal benefit to the director or officer, and (e) for officers, in any action by or in the right of Satellogic. The provision also does not affect a director’s or officer’s responsibilities under any other law, such as the federal securities laws or state or federal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716280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501" w:right="319" w:bottom="1440" w:gutter="0" w:footer="0" w:header="0"/>
        </w:sectPr>
      </w:pPr>
    </w:p>
    <w:bookmarkStart w:id="31" w:name="page32"/>
    <w:bookmarkEnd w:id="31"/>
    <w:p>
      <w:pPr>
        <w:ind w:left="500"/>
        <w:spacing w:after="0"/>
        <w:rPr>
          <w:sz w:val="20"/>
          <w:szCs w:val="20"/>
          <w:color w:val="auto"/>
        </w:rPr>
      </w:pPr>
      <w:r>
        <w:rPr>
          <w:rFonts w:ascii="Times New Roman" w:cs="Times New Roman" w:eastAsia="Times New Roman" w:hAnsi="Times New Roman"/>
          <w:sz w:val="14"/>
          <w:szCs w:val="14"/>
          <w:color w:val="auto"/>
        </w:rPr>
        <w:t>Our bylaws also provide that Satellogic shall indemnify its officers, directors and employees to the fullest extent possible except as prohibited by the DGCL.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77" w:lineRule="exact"/>
        <w:rPr>
          <w:sz w:val="20"/>
          <w:szCs w:val="20"/>
          <w:color w:val="auto"/>
        </w:rPr>
      </w:pPr>
    </w:p>
    <w:p>
      <w:pPr>
        <w:ind w:left="980" w:hanging="471"/>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51"/>
        </w:trPr>
        <w:tc>
          <w:tcPr>
            <w:tcW w:w="9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9080" w:type="dxa"/>
            <w:vAlign w:val="bottom"/>
            <w:tcBorders>
              <w:bottom w:val="single" w:sz="8" w:color="0000EE"/>
            </w:tcBorders>
            <w:gridSpan w:val="9"/>
          </w:tcPr>
          <w:p>
            <w:pPr>
              <w:spacing w:after="0" w:line="151" w:lineRule="exact"/>
              <w:rPr>
                <w:rFonts w:ascii="Times New Roman" w:cs="Times New Roman" w:eastAsia="Times New Roman" w:hAnsi="Times New Roman"/>
                <w:sz w:val="14"/>
                <w:szCs w:val="14"/>
                <w:color w:val="0000EE"/>
                <w:w w:val="99"/>
              </w:rPr>
            </w:pPr>
            <w:hyperlink r:id="rId44">
              <w:r>
                <w:rPr>
                  <w:rFonts w:ascii="Times New Roman" w:cs="Times New Roman" w:eastAsia="Times New Roman" w:hAnsi="Times New Roman"/>
                  <w:sz w:val="14"/>
                  <w:szCs w:val="14"/>
                  <w:color w:val="0000EE"/>
                  <w:w w:val="99"/>
                </w:rPr>
                <w:t>Certificate of Domestication of Satellogic Inc. (incorporated by reference to Exhibit 3.1 to the Company’s Current Report on Form 8-K, filed on March 26, 2025)</w:t>
              </w:r>
            </w:hyperlink>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3.2</w:t>
            </w:r>
          </w:p>
        </w:tc>
        <w:tc>
          <w:tcPr>
            <w:tcW w:w="9020" w:type="dxa"/>
            <w:vAlign w:val="bottom"/>
            <w:tcBorders>
              <w:bottom w:val="single" w:sz="8" w:color="0000EE"/>
            </w:tcBorders>
            <w:gridSpan w:val="8"/>
          </w:tcPr>
          <w:p>
            <w:pPr>
              <w:spacing w:after="0" w:line="148"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Certificate of Incorporation of Satellogic Inc. (incorporated by reference to Exhibit 3.2 to the Company’s Current Report on Form 8-K filed on March 26, 2025)</w:t>
              </w:r>
            </w:hyperlink>
          </w:p>
        </w:tc>
        <w:tc>
          <w:tcPr>
            <w:tcW w:w="60" w:type="dxa"/>
            <w:vAlign w:val="bottom"/>
          </w:tcPr>
          <w:p>
            <w:pPr>
              <w:spacing w:after="0"/>
              <w:rPr>
                <w:sz w:val="12"/>
                <w:szCs w:val="1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3.3</w:t>
            </w:r>
          </w:p>
        </w:tc>
        <w:tc>
          <w:tcPr>
            <w:tcW w:w="7900" w:type="dxa"/>
            <w:vAlign w:val="bottom"/>
            <w:tcBorders>
              <w:bottom w:val="single" w:sz="8" w:color="0000EE"/>
            </w:tcBorders>
            <w:gridSpan w:val="7"/>
          </w:tcPr>
          <w:p>
            <w:pPr>
              <w:spacing w:after="0" w:line="148" w:lineRule="exact"/>
              <w:rPr>
                <w:rFonts w:ascii="Times New Roman" w:cs="Times New Roman" w:eastAsia="Times New Roman" w:hAnsi="Times New Roman"/>
                <w:sz w:val="14"/>
                <w:szCs w:val="14"/>
                <w:color w:val="0000EE"/>
              </w:rPr>
            </w:pPr>
            <w:hyperlink r:id="rId46">
              <w:r>
                <w:rPr>
                  <w:rFonts w:ascii="Times New Roman" w:cs="Times New Roman" w:eastAsia="Times New Roman" w:hAnsi="Times New Roman"/>
                  <w:sz w:val="14"/>
                  <w:szCs w:val="14"/>
                  <w:color w:val="0000EE"/>
                </w:rPr>
                <w:t>Bylaws of Satellogic Inc. (incorporated by reference to Exhibit 3.3 to the Company’s Current Report on Form 8-K filed on March 26, 2025)</w:t>
              </w:r>
            </w:hyperlink>
          </w:p>
        </w:tc>
        <w:tc>
          <w:tcPr>
            <w:tcW w:w="1180" w:type="dxa"/>
            <w:vAlign w:val="bottom"/>
            <w:gridSpan w:val="2"/>
          </w:tcPr>
          <w:p>
            <w:pPr>
              <w:spacing w:after="0"/>
              <w:rPr>
                <w:sz w:val="12"/>
                <w:szCs w:val="1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4.1</w:t>
            </w:r>
          </w:p>
        </w:tc>
        <w:tc>
          <w:tcPr>
            <w:tcW w:w="6560" w:type="dxa"/>
            <w:vAlign w:val="bottom"/>
            <w:tcBorders>
              <w:bottom w:val="single" w:sz="8" w:color="0000EE"/>
            </w:tcBorders>
            <w:gridSpan w:val="6"/>
          </w:tcPr>
          <w:p>
            <w:pPr>
              <w:spacing w:after="0" w:line="148" w:lineRule="exact"/>
              <w:rPr>
                <w:rFonts w:ascii="Times New Roman" w:cs="Times New Roman" w:eastAsia="Times New Roman" w:hAnsi="Times New Roman"/>
                <w:sz w:val="14"/>
                <w:szCs w:val="14"/>
                <w:color w:val="0000EE"/>
              </w:rPr>
            </w:pPr>
            <w:hyperlink r:id="rId41">
              <w:r>
                <w:rPr>
                  <w:rFonts w:ascii="Times New Roman" w:cs="Times New Roman" w:eastAsia="Times New Roman" w:hAnsi="Times New Roman"/>
                  <w:sz w:val="14"/>
                  <w:szCs w:val="14"/>
                  <w:color w:val="0000EE"/>
                </w:rPr>
                <w:t>Description of Registrant’s Securities (incorporated by reference to the Company’s Form 8-A filed March 26, 2025)</w:t>
              </w:r>
            </w:hyperlink>
          </w:p>
        </w:tc>
        <w:tc>
          <w:tcPr>
            <w:tcW w:w="2520" w:type="dxa"/>
            <w:vAlign w:val="bottom"/>
            <w:gridSpan w:val="3"/>
          </w:tcPr>
          <w:p>
            <w:pPr>
              <w:spacing w:after="0"/>
              <w:rPr>
                <w:sz w:val="12"/>
                <w:szCs w:val="1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5.1*</w:t>
            </w:r>
          </w:p>
        </w:tc>
        <w:tc>
          <w:tcPr>
            <w:tcW w:w="190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9"/>
              </w:rPr>
              <w:t>Opinion of King &amp; Spalding LLP</w:t>
            </w:r>
          </w:p>
        </w:tc>
        <w:tc>
          <w:tcPr>
            <w:tcW w:w="7180" w:type="dxa"/>
            <w:vAlign w:val="bottom"/>
            <w:gridSpan w:val="7"/>
          </w:tcPr>
          <w:p>
            <w:pPr>
              <w:spacing w:after="0"/>
              <w:rPr>
                <w:sz w:val="12"/>
                <w:szCs w:val="1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23.1*</w:t>
            </w:r>
          </w:p>
        </w:tc>
        <w:tc>
          <w:tcPr>
            <w:tcW w:w="442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9"/>
              </w:rPr>
              <w:t>Consent of Ernst &amp; Young LLP, independent registered public accounting firm</w:t>
            </w:r>
          </w:p>
        </w:tc>
        <w:tc>
          <w:tcPr>
            <w:tcW w:w="4660" w:type="dxa"/>
            <w:vAlign w:val="bottom"/>
            <w:gridSpan w:val="5"/>
          </w:tcPr>
          <w:p>
            <w:pPr>
              <w:spacing w:after="0"/>
              <w:rPr>
                <w:sz w:val="12"/>
                <w:szCs w:val="1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23.2*</w:t>
            </w:r>
          </w:p>
        </w:tc>
        <w:tc>
          <w:tcPr>
            <w:tcW w:w="9080" w:type="dxa"/>
            <w:vAlign w:val="bottom"/>
            <w:gridSpan w:val="9"/>
          </w:tcPr>
          <w:p>
            <w:pPr>
              <w:spacing w:after="0" w:line="148" w:lineRule="exact"/>
              <w:rPr>
                <w:sz w:val="20"/>
                <w:szCs w:val="20"/>
                <w:color w:val="auto"/>
              </w:rPr>
            </w:pPr>
            <w:r>
              <w:rPr>
                <w:rFonts w:ascii="Times New Roman" w:cs="Times New Roman" w:eastAsia="Times New Roman" w:hAnsi="Times New Roman"/>
                <w:sz w:val="14"/>
                <w:szCs w:val="14"/>
                <w:color w:val="0000EE"/>
              </w:rPr>
              <w:t>Consent of King &amp; Spalding LLP (included in Exhibit 5.1)</w:t>
            </w:r>
          </w:p>
        </w:tc>
      </w:tr>
      <w:tr>
        <w:trPr>
          <w:trHeight w:val="20"/>
        </w:trPr>
        <w:tc>
          <w:tcPr>
            <w:tcW w:w="9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24.1*</w:t>
            </w:r>
          </w:p>
        </w:tc>
        <w:tc>
          <w:tcPr>
            <w:tcW w:w="9080" w:type="dxa"/>
            <w:vAlign w:val="bottom"/>
            <w:gridSpan w:val="9"/>
          </w:tcPr>
          <w:p>
            <w:pPr>
              <w:spacing w:after="0" w:line="148" w:lineRule="exact"/>
              <w:rPr>
                <w:sz w:val="20"/>
                <w:szCs w:val="20"/>
                <w:color w:val="auto"/>
              </w:rPr>
            </w:pPr>
            <w:r>
              <w:rPr>
                <w:rFonts w:ascii="Times New Roman" w:cs="Times New Roman" w:eastAsia="Times New Roman" w:hAnsi="Times New Roman"/>
                <w:sz w:val="14"/>
                <w:szCs w:val="14"/>
                <w:color w:val="0000EE"/>
              </w:rPr>
              <w:t>Power of Attorney (included on the signature page to the initial filing of the registration statement)</w:t>
            </w: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107*</w:t>
            </w:r>
          </w:p>
        </w:tc>
        <w:tc>
          <w:tcPr>
            <w:tcW w:w="182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9"/>
              </w:rPr>
              <w:t>Calculation of Filing Fees Table</w:t>
            </w:r>
          </w:p>
        </w:tc>
        <w:tc>
          <w:tcPr>
            <w:tcW w:w="3720" w:type="dxa"/>
            <w:vAlign w:val="bottom"/>
            <w:tcBorders>
              <w:top w:val="single" w:sz="8" w:color="0000EE"/>
            </w:tcBorders>
            <w:gridSpan w:val="4"/>
          </w:tcPr>
          <w:p>
            <w:pPr>
              <w:spacing w:after="0"/>
              <w:rPr>
                <w:sz w:val="12"/>
                <w:szCs w:val="12"/>
                <w:color w:val="auto"/>
              </w:rPr>
            </w:pPr>
          </w:p>
        </w:tc>
        <w:tc>
          <w:tcPr>
            <w:tcW w:w="3540" w:type="dxa"/>
            <w:vAlign w:val="bottom"/>
            <w:gridSpan w:val="4"/>
          </w:tcPr>
          <w:p>
            <w:pPr>
              <w:spacing w:after="0"/>
              <w:rPr>
                <w:sz w:val="12"/>
                <w:szCs w:val="12"/>
                <w:color w:val="auto"/>
              </w:rPr>
            </w:pPr>
          </w:p>
        </w:tc>
      </w:tr>
    </w:tbl>
    <w:p>
      <w:pPr>
        <w:spacing w:after="0" w:line="6" w:lineRule="exact"/>
        <w:rPr>
          <w:sz w:val="20"/>
          <w:szCs w:val="20"/>
          <w:color w:val="auto"/>
        </w:rPr>
      </w:pPr>
    </w:p>
    <w:p>
      <w:pPr>
        <w:ind w:left="260" w:hanging="256"/>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177" w:lineRule="exact"/>
        <w:rPr>
          <w:sz w:val="20"/>
          <w:szCs w:val="20"/>
          <w:color w:val="auto"/>
        </w:rPr>
      </w:pPr>
    </w:p>
    <w:p>
      <w:pPr>
        <w:ind w:left="980" w:hanging="471"/>
        <w:spacing w:after="0"/>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hereby undertakes:</w:t>
      </w:r>
    </w:p>
    <w:p>
      <w:pPr>
        <w:spacing w:after="0" w:line="175" w:lineRule="exact"/>
        <w:rPr>
          <w:rFonts w:ascii="Times New Roman" w:cs="Times New Roman" w:eastAsia="Times New Roman" w:hAnsi="Times New Roman"/>
          <w:sz w:val="14"/>
          <w:szCs w:val="14"/>
          <w:color w:val="auto"/>
        </w:rPr>
      </w:pPr>
    </w:p>
    <w:p>
      <w:pPr>
        <w:ind w:left="1500" w:hanging="487"/>
        <w:spacing w:after="0"/>
        <w:tabs>
          <w:tab w:leader="none" w:pos="15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5" w:lineRule="exact"/>
        <w:rPr>
          <w:rFonts w:ascii="Times New Roman" w:cs="Times New Roman" w:eastAsia="Times New Roman" w:hAnsi="Times New Roman"/>
          <w:sz w:val="14"/>
          <w:szCs w:val="14"/>
          <w:color w:val="auto"/>
        </w:rPr>
      </w:pPr>
    </w:p>
    <w:p>
      <w:pPr>
        <w:ind w:left="1960" w:hanging="442"/>
        <w:spacing w:after="0"/>
        <w:tabs>
          <w:tab w:leader="none" w:pos="1960"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75" w:lineRule="exact"/>
        <w:rPr>
          <w:rFonts w:ascii="Times New Roman" w:cs="Times New Roman" w:eastAsia="Times New Roman" w:hAnsi="Times New Roman"/>
          <w:sz w:val="14"/>
          <w:szCs w:val="14"/>
          <w:color w:val="auto"/>
        </w:rPr>
      </w:pPr>
    </w:p>
    <w:p>
      <w:pPr>
        <w:jc w:val="both"/>
        <w:ind w:left="1020" w:firstLine="498"/>
        <w:spacing w:after="0" w:line="258" w:lineRule="auto"/>
        <w:tabs>
          <w:tab w:leader="none" w:pos="2028" w:val="left"/>
        </w:tabs>
        <w:numPr>
          <w:ilvl w:val="2"/>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that,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716280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482" w:right="319" w:bottom="1440" w:gutter="0" w:footer="0" w:header="0"/>
        </w:sectPr>
      </w:pPr>
    </w:p>
    <w:bookmarkStart w:id="32" w:name="page33"/>
    <w:bookmarkEnd w:id="32"/>
    <w:p>
      <w:pPr>
        <w:ind w:left="7" w:firstLine="498"/>
        <w:spacing w:after="0" w:line="283" w:lineRule="auto"/>
        <w:tabs>
          <w:tab w:leader="none" w:pos="112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5" w:lineRule="exact"/>
        <w:rPr>
          <w:sz w:val="20"/>
          <w:szCs w:val="20"/>
          <w:color w:val="auto"/>
        </w:rPr>
      </w:pPr>
    </w:p>
    <w:p>
      <w:pPr>
        <w:jc w:val="both"/>
        <w:ind w:left="7" w:firstLine="505"/>
        <w:spacing w:after="0" w:line="267" w:lineRule="auto"/>
        <w:rPr>
          <w:sz w:val="20"/>
          <w:szCs w:val="20"/>
          <w:color w:val="auto"/>
        </w:rPr>
      </w:pPr>
      <w:r>
        <w:rPr>
          <w:rFonts w:ascii="Times New Roman" w:cs="Times New Roman" w:eastAsia="Times New Roman" w:hAnsi="Times New Roman"/>
          <w:sz w:val="14"/>
          <w:szCs w:val="14"/>
          <w:color w:val="auto"/>
        </w:rPr>
        <w:t>provided, however,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6" w:lineRule="exact"/>
        <w:rPr>
          <w:sz w:val="20"/>
          <w:szCs w:val="20"/>
          <w:color w:val="auto"/>
        </w:rPr>
      </w:pPr>
    </w:p>
    <w:p>
      <w:pPr>
        <w:ind w:left="-513" w:firstLine="513"/>
        <w:spacing w:after="0" w:line="283" w:lineRule="auto"/>
        <w:tabs>
          <w:tab w:leader="none" w:pos="56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4"/>
          <w:szCs w:val="14"/>
          <w:color w:val="auto"/>
        </w:rPr>
      </w:pPr>
    </w:p>
    <w:p>
      <w:pPr>
        <w:ind w:left="487" w:hanging="487"/>
        <w:spacing w:after="0"/>
        <w:tabs>
          <w:tab w:leader="none" w:pos="48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 and</w:t>
      </w:r>
    </w:p>
    <w:p>
      <w:pPr>
        <w:spacing w:after="0" w:line="175" w:lineRule="exact"/>
        <w:rPr>
          <w:rFonts w:ascii="Times New Roman" w:cs="Times New Roman" w:eastAsia="Times New Roman" w:hAnsi="Times New Roman"/>
          <w:sz w:val="14"/>
          <w:szCs w:val="14"/>
          <w:color w:val="auto"/>
        </w:rPr>
      </w:pPr>
    </w:p>
    <w:p>
      <w:pPr>
        <w:ind w:left="487" w:hanging="487"/>
        <w:spacing w:after="0"/>
        <w:tabs>
          <w:tab w:leader="none" w:pos="48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75" w:lineRule="exact"/>
        <w:rPr>
          <w:rFonts w:ascii="Times New Roman" w:cs="Times New Roman" w:eastAsia="Times New Roman" w:hAnsi="Times New Roman"/>
          <w:sz w:val="14"/>
          <w:szCs w:val="14"/>
          <w:color w:val="auto"/>
        </w:rPr>
      </w:pPr>
    </w:p>
    <w:p>
      <w:pPr>
        <w:ind w:left="947" w:hanging="442"/>
        <w:spacing w:after="0"/>
        <w:tabs>
          <w:tab w:leader="none" w:pos="947"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relying on Rule 430B:</w:t>
      </w:r>
    </w:p>
    <w:p>
      <w:pPr>
        <w:spacing w:after="0" w:line="175" w:lineRule="exact"/>
        <w:rPr>
          <w:rFonts w:ascii="Times New Roman" w:cs="Times New Roman" w:eastAsia="Times New Roman" w:hAnsi="Times New Roman"/>
          <w:sz w:val="14"/>
          <w:szCs w:val="14"/>
          <w:color w:val="auto"/>
        </w:rPr>
      </w:pPr>
    </w:p>
    <w:p>
      <w:pPr>
        <w:ind w:left="507" w:firstLine="502"/>
        <w:spacing w:after="0" w:line="283" w:lineRule="auto"/>
        <w:tabs>
          <w:tab w:leader="none" w:pos="1540"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4" w:lineRule="exact"/>
        <w:rPr>
          <w:rFonts w:ascii="Times New Roman" w:cs="Times New Roman" w:eastAsia="Times New Roman" w:hAnsi="Times New Roman"/>
          <w:sz w:val="14"/>
          <w:szCs w:val="14"/>
          <w:color w:val="auto"/>
        </w:rPr>
      </w:pPr>
    </w:p>
    <w:p>
      <w:pPr>
        <w:jc w:val="both"/>
        <w:ind w:left="507" w:firstLine="502"/>
        <w:spacing w:after="0" w:line="254" w:lineRule="auto"/>
        <w:tabs>
          <w:tab w:leader="none" w:pos="1557"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48" w:lineRule="exact"/>
        <w:rPr>
          <w:rFonts w:ascii="Times New Roman" w:cs="Times New Roman" w:eastAsia="Times New Roman" w:hAnsi="Times New Roman"/>
          <w:sz w:val="14"/>
          <w:szCs w:val="14"/>
          <w:color w:val="auto"/>
        </w:rPr>
      </w:pPr>
    </w:p>
    <w:p>
      <w:pPr>
        <w:jc w:val="both"/>
        <w:ind w:left="7" w:firstLine="498"/>
        <w:spacing w:after="0" w:line="257" w:lineRule="auto"/>
        <w:tabs>
          <w:tab w:leader="none" w:pos="116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273685</wp:posOffset>
            </wp:positionV>
            <wp:extent cx="716280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0267"/>
          </w:cols>
          <w:pgMar w:left="1313" w:top="482" w:right="319" w:bottom="1440" w:gutter="0" w:footer="0" w:header="0"/>
        </w:sectPr>
      </w:pPr>
    </w:p>
    <w:bookmarkStart w:id="33" w:name="page34"/>
    <w:bookmarkEnd w:id="33"/>
    <w:p>
      <w:pPr>
        <w:ind w:left="1000" w:hanging="487"/>
        <w:spacing w:after="0"/>
        <w:tabs>
          <w:tab w:leader="none" w:pos="1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17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6" w:lineRule="exact"/>
        <w:rPr>
          <w:sz w:val="20"/>
          <w:szCs w:val="20"/>
          <w:color w:val="auto"/>
        </w:rPr>
      </w:pPr>
    </w:p>
    <w:p>
      <w:pPr>
        <w:ind w:left="1460" w:hanging="442"/>
        <w:spacing w:after="0"/>
        <w:tabs>
          <w:tab w:leader="none" w:pos="14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5" w:lineRule="exact"/>
        <w:rPr>
          <w:rFonts w:ascii="Times New Roman" w:cs="Times New Roman" w:eastAsia="Times New Roman" w:hAnsi="Times New Roman"/>
          <w:sz w:val="14"/>
          <w:szCs w:val="14"/>
          <w:color w:val="auto"/>
        </w:rPr>
      </w:pPr>
    </w:p>
    <w:p>
      <w:pPr>
        <w:ind w:left="1500" w:hanging="482"/>
        <w:spacing w:after="0"/>
        <w:tabs>
          <w:tab w:leader="none" w:pos="15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75" w:lineRule="exact"/>
        <w:rPr>
          <w:rFonts w:ascii="Times New Roman" w:cs="Times New Roman" w:eastAsia="Times New Roman" w:hAnsi="Times New Roman"/>
          <w:sz w:val="14"/>
          <w:szCs w:val="14"/>
          <w:color w:val="auto"/>
        </w:rPr>
      </w:pPr>
    </w:p>
    <w:p>
      <w:pPr>
        <w:ind w:left="520" w:firstLine="498"/>
        <w:spacing w:after="0" w:line="283" w:lineRule="auto"/>
        <w:tabs>
          <w:tab w:leader="none" w:pos="1547"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4" w:lineRule="exact"/>
        <w:rPr>
          <w:rFonts w:ascii="Times New Roman" w:cs="Times New Roman" w:eastAsia="Times New Roman" w:hAnsi="Times New Roman"/>
          <w:sz w:val="14"/>
          <w:szCs w:val="14"/>
          <w:color w:val="auto"/>
        </w:rPr>
      </w:pPr>
    </w:p>
    <w:p>
      <w:pPr>
        <w:ind w:left="1520" w:hanging="502"/>
        <w:spacing w:after="0"/>
        <w:tabs>
          <w:tab w:leader="none" w:pos="15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5" w:lineRule="exact"/>
        <w:rPr>
          <w:rFonts w:ascii="Times New Roman" w:cs="Times New Roman" w:eastAsia="Times New Roman" w:hAnsi="Times New Roman"/>
          <w:sz w:val="14"/>
          <w:szCs w:val="14"/>
          <w:color w:val="auto"/>
        </w:rPr>
      </w:pPr>
    </w:p>
    <w:p>
      <w:pPr>
        <w:jc w:val="both"/>
        <w:ind w:left="-500" w:firstLine="509"/>
        <w:spacing w:after="0" w:line="261" w:lineRule="auto"/>
        <w:tabs>
          <w:tab w:leader="none" w:pos="52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Times New Roman" w:cs="Times New Roman" w:eastAsia="Times New Roman" w:hAnsi="Times New Roman"/>
          <w:sz w:val="14"/>
          <w:szCs w:val="14"/>
          <w:color w:val="auto"/>
        </w:rPr>
      </w:pPr>
    </w:p>
    <w:p>
      <w:pPr>
        <w:jc w:val="both"/>
        <w:ind w:left="-500" w:firstLine="509"/>
        <w:spacing w:after="0" w:line="257" w:lineRule="auto"/>
        <w:tabs>
          <w:tab w:leader="none" w:pos="57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273685</wp:posOffset>
            </wp:positionV>
            <wp:extent cx="716280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0780"/>
          </w:cols>
          <w:pgMar w:left="800" w:top="482"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Davidson, North Carolina on March 19,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SATELLOGIC INC.</w:t>
            </w:r>
          </w:p>
        </w:tc>
        <w:tc>
          <w:tcPr>
            <w:tcW w:w="3940" w:type="dxa"/>
            <w:vAlign w:val="bottom"/>
          </w:tcPr>
          <w:p>
            <w:pPr>
              <w:spacing w:after="0"/>
              <w:rPr>
                <w:sz w:val="15"/>
                <w:szCs w:val="15"/>
                <w:color w:val="auto"/>
              </w:rPr>
            </w:pPr>
          </w:p>
        </w:tc>
      </w:tr>
      <w:tr>
        <w:trPr>
          <w:trHeight w:val="336"/>
        </w:trPr>
        <w:tc>
          <w:tcPr>
            <w:tcW w:w="610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color w:val="auto"/>
              </w:rPr>
              <w:t>/s/ Rick Dunn</w:t>
            </w:r>
          </w:p>
        </w:tc>
      </w:tr>
      <w:tr>
        <w:trPr>
          <w:trHeight w:val="144"/>
        </w:trPr>
        <w:tc>
          <w:tcPr>
            <w:tcW w:w="610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Rick Dunn</w:t>
            </w:r>
          </w:p>
        </w:tc>
      </w:tr>
      <w:tr>
        <w:trPr>
          <w:trHeight w:val="183"/>
        </w:trPr>
        <w:tc>
          <w:tcPr>
            <w:tcW w:w="6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 (principal financial and accounting officer)</w:t>
            </w:r>
          </w:p>
        </w:tc>
      </w:tr>
      <w:tr>
        <w:trPr>
          <w:trHeight w:val="443"/>
        </w:trPr>
        <w:tc>
          <w:tcPr>
            <w:tcW w:w="6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48"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Each of the undersigned individuals hereby severally constitutes and appoints Emiliano Kargieman and Rick Dunn each as the attorney-in-fact for the undersigned, in any and all capacities, with full power of substitution, to sign on such person’s behalf, individually and in each capacity stated below, any and all amendments to this registration statement, and any subsequent registration statement filed by the registrant pursuant to Rule 462(b) of the Securities Act, and to file or cause to be filed the same, with all exhibits thereto, and other documents in connection therewith, with the SEC, granting unto said attorney-in-fact full power and authority to do and perform each and every act and thing requisite or necessary to be done in connection therewith, as fully to all intents and purposes as such person might or could do in person, hereby ratifying and confirming all that said attorney-in-fact, or his substitute or substitutes, may lawfully do or cause to be done by virtue thereof.</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0" w:type="dxa"/>
            <w:vAlign w:val="bottom"/>
          </w:tcPr>
          <w:p>
            <w:pPr>
              <w:spacing w:after="0"/>
              <w:rPr>
                <w:sz w:val="16"/>
                <w:szCs w:val="16"/>
                <w:color w:val="auto"/>
              </w:rPr>
            </w:pPr>
          </w:p>
        </w:tc>
        <w:tc>
          <w:tcPr>
            <w:tcW w:w="532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Emiliano Kargieman</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3"/>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Emiliano Kargieman</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Rick Dunn</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3"/>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Rick Dunn</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Steven Mnuchin</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Chairman of the Board</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3"/>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Steven Mnuchin</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General Joseph F. Dunford Jr.</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3"/>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General Joseph F. Dunford Jr.</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Kelly Kennedy</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3"/>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Kelly Kennedy</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Tom Killalea</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3"/>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Tom Killalea</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Ted Wang</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3"/>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Ted Wang</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Miguel Gutiérrez</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3"/>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Miguel Gutiérrez</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bl>
    <w:p>
      <w:pPr>
        <w:sectPr>
          <w:pgSz w:w="11900" w:h="16838" w:orient="portrait"/>
          <w:cols w:equalWidth="0" w:num="1">
            <w:col w:w="11280"/>
          </w:cols>
          <w:pgMar w:left="300" w:top="480" w:right="3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350"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3"/>
          <w:szCs w:val="13"/>
          <w:color w:val="auto"/>
        </w:rPr>
        <w:t>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2129155" cy="167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129155" cy="167005"/>
                    </a:xfrm>
                    <a:prstGeom prst="rect">
                      <a:avLst/>
                    </a:prstGeom>
                    <a:noFill/>
                  </pic:spPr>
                </pic:pic>
              </a:graphicData>
            </a:graphic>
          </wp:anchor>
        </w:drawing>
      </w:r>
    </w:p>
    <w:p>
      <w:pPr>
        <w:ind w:left="8460"/>
        <w:spacing w:after="0"/>
        <w:rPr>
          <w:sz w:val="20"/>
          <w:szCs w:val="20"/>
          <w:color w:val="auto"/>
        </w:rPr>
      </w:pPr>
      <w:r>
        <w:rPr>
          <w:rFonts w:ascii="Times New Roman" w:cs="Times New Roman" w:eastAsia="Times New Roman" w:hAnsi="Times New Roman"/>
          <w:sz w:val="13"/>
          <w:szCs w:val="13"/>
          <w:color w:val="auto"/>
        </w:rPr>
        <w:t>1180 Peachtree Street N.E.</w:t>
      </w:r>
    </w:p>
    <w:p>
      <w:pPr>
        <w:spacing w:after="0" w:line="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3"/>
          <w:szCs w:val="13"/>
          <w:color w:val="auto"/>
        </w:rPr>
        <w:t>Atlanta, Georgia 30309-3521</w:t>
      </w:r>
    </w:p>
    <w:p>
      <w:pPr>
        <w:spacing w:after="0" w:line="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3"/>
          <w:szCs w:val="13"/>
          <w:color w:val="auto"/>
        </w:rPr>
        <w:t>www.kslaw.com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2026</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Satellogic Inc.</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210 Delburg Street</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Davidson, NC 28036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We have acted as counsel to Satellogic Inc., a Delaware corporation (the “Company”), in connection with the preparation of the Registration Statement on Form S-3 (the “Registration Statement”) filed with the Securities and Exchange Commission (the “Commission”) under the Securities Act of 1933, as amended (the “Securities Act”). The Registration Statement relates to the registration under the Securities Act of the offer and sale, from time to time pursuant to Rule 415 under the Securities Act, of up to an aggregate of $200,000,000 of shares of Class A Common Stock, par value $0.0001 per share (the “Common Stock”).</w:t>
      </w:r>
    </w:p>
    <w:p>
      <w:pPr>
        <w:spacing w:after="0" w:line="141"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In so acting, we have examined and relied upon the accuracy of original, certified, conformed or photographic copies of such records, agreements, certificates and other documents as we have deemed necessary or appropriate to enable us to render the opinions set forth below. In all such examinations, we have assumed the genuineness of signatures on original documents and the conformity to such original documents of all copies submitted to us as certified, conformed or photographic copies and, as to certificates of public officials, we have assumed the same to have been properly given and to be accurate. As to matters of fact material to this opinion, we have relied, without independent verification, upon statements and representations of representatives of the Company and public officials.</w:t>
      </w:r>
    </w:p>
    <w:p>
      <w:pPr>
        <w:spacing w:after="0" w:line="144"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Based on the foregoing, and subject to the assumptions, qualifications and limitations set forth herein, we are of the opinion that, when the Registration Statement has become effective under the Securities Act, any shares of Common Stock, when (i) the terms of their issuance and sale, and all related matters, have been duly authorized and established by all necessary corporate action and</w:t>
      </w:r>
    </w:p>
    <w:p>
      <w:pPr>
        <w:spacing w:after="0" w:line="1" w:lineRule="exact"/>
        <w:rPr>
          <w:sz w:val="20"/>
          <w:szCs w:val="20"/>
          <w:color w:val="auto"/>
        </w:rPr>
      </w:pPr>
    </w:p>
    <w:p>
      <w:pPr>
        <w:ind w:firstLine="4"/>
        <w:spacing w:after="0" w:line="261" w:lineRule="auto"/>
        <w:tabs>
          <w:tab w:leader="none" w:pos="20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shares of Common Stock have been duly delivered to the purchasers thereof upon the payment of the consideration therefor (which consideration is not less than the par value of the Common Stock) as contemplated by the Registration Statement,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716280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Satellogic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6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This opinion is limited in all respects to the federal laws of the United States of America and the Delaware General Corporation Law, and no opinion is expressed with respect to the laws of any other jurisdiction or any effect that such laws may have on the opinions expressed herein. This opinion is limited to the matters stated herein, and no opinion is implied or may be inferred beyond the matters expressly stated herein.</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Company in connection with the matters addressed herein.</w:t>
      </w:r>
    </w:p>
    <w:p>
      <w:pPr>
        <w:spacing w:after="0" w:line="12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We consent to the filing of this opinion as an exhibit to the Registration Statement and to the reference to us under the caption “Validity of the Securities” in the prospectus that forms a part thereof. In giving such consent, we do not admit that we are in the category of persons whose consent is required under Section 7 of the Securities Act.</w:t>
      </w:r>
    </w:p>
    <w:p>
      <w:pPr>
        <w:spacing w:after="0" w:line="1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King &amp; Spalding LLP</w:t>
      </w:r>
    </w:p>
    <w:p>
      <w:pPr>
        <w:sectPr>
          <w:pgSz w:w="11900" w:h="16838" w:orient="portrait"/>
          <w:cols w:equalWidth="0" w:num="1">
            <w:col w:w="11280"/>
          </w:cols>
          <w:pgMar w:left="300" w:top="314" w:right="3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color w:val="auto"/>
        </w:rPr>
        <w:t>Exhibit No. 23.1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Satellogic Inc. for the registration of $200,000,000 aggregate amount of shares of its Class A common stock and to the incorporation by reference therein of our report dated March 19, 2026, with respect to the consolidated financial statements of Satellogic Inc. included in its Annual Report (Form 10-K) for the year ended December 31, 2025, filed with the Securities and Exchange Commission.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Charlotte,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2026</w:t>
      </w:r>
    </w:p>
    <w:p>
      <w:pPr>
        <w:sectPr>
          <w:pgSz w:w="11900" w:h="16838" w:orient="portrait"/>
          <w:cols w:equalWidth="0" w:num="1">
            <w:col w:w="11280"/>
          </w:cols>
          <w:pgMar w:left="300" w:top="293" w:right="319" w:bottom="1440" w:gutter="0" w:footer="0" w:header="0"/>
        </w:sectPr>
      </w:pPr>
    </w:p>
    <w:bookmarkStart w:id="39" w:name="page40"/>
    <w:bookmarkEnd w:id="39"/>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Satellogic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Borders>
              <w:left w:val="single" w:sz="8" w:color="auto"/>
            </w:tcBorders>
          </w:tcPr>
          <w:p>
            <w:pPr>
              <w:spacing w:after="0"/>
              <w:rPr>
                <w:sz w:val="22"/>
                <w:szCs w:val="22"/>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2"/>
                <w:szCs w:val="22"/>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22"/>
                <w:szCs w:val="22"/>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22"/>
                <w:szCs w:val="22"/>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22"/>
                <w:szCs w:val="22"/>
                <w:color w:val="auto"/>
              </w:rPr>
            </w:pPr>
          </w:p>
        </w:tc>
        <w:tc>
          <w:tcPr>
            <w:tcW w:w="9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22"/>
                <w:szCs w:val="22"/>
                <w:color w:val="auto"/>
              </w:rPr>
            </w:pPr>
          </w:p>
        </w:tc>
        <w:tc>
          <w:tcPr>
            <w:tcW w:w="10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$ 27,620.00</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jc w:val="right"/>
              <w:spacing w:after="0" w:line="116" w:lineRule="exact"/>
              <w:rPr>
                <w:sz w:val="20"/>
                <w:szCs w:val="20"/>
                <w:color w:val="auto"/>
              </w:rPr>
            </w:pPr>
            <w:r>
              <w:rPr>
                <w:rFonts w:ascii="Arial" w:cs="Arial" w:eastAsia="Arial" w:hAnsi="Arial"/>
                <w:sz w:val="13"/>
                <w:szCs w:val="13"/>
                <w:color w:val="auto"/>
              </w:rPr>
              <w:t>200,000,000.00</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$ 27,620.00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$ 27,620.00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80" w:hanging="6"/>
        <w:spacing w:after="0" w:line="248" w:lineRule="auto"/>
        <w:tabs>
          <w:tab w:leader="none" w:pos="472"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Pursuant to Rule 416 of the Securities Act of 1933, as amended (the "Securities Act"), there are being registered an indeterminable number of additional shares of common stock as may be issuable with respect to the shares being issued hereunder as a result of stock splits, stock dividends or similar transactions.</w:t>
      </w:r>
    </w:p>
    <w:p>
      <w:pPr>
        <w:spacing w:after="0" w:line="150" w:lineRule="exact"/>
        <w:rPr>
          <w:rFonts w:ascii="Arial" w:cs="Arial" w:eastAsia="Arial" w:hAnsi="Arial"/>
          <w:sz w:val="17"/>
          <w:szCs w:val="17"/>
          <w:color w:val="auto"/>
        </w:rPr>
      </w:pPr>
    </w:p>
    <w:p>
      <w:pPr>
        <w:ind w:left="220" w:right="220" w:hanging="6"/>
        <w:spacing w:after="0" w:line="248" w:lineRule="auto"/>
        <w:tabs>
          <w:tab w:leader="none" w:pos="472"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Pursuant to Instruction 2.A.ii.b to Item 16(b) of Form S-3, this information is not required to be included. An indeterminate aggregate initial offering price or number of shares of Class A Common Stock is being registered as may be issued at indeterminate prices from time to time with an aggregate initial offering price not to exceed $200,000,000.00.</w:t>
      </w:r>
    </w:p>
    <w:p>
      <w:pPr>
        <w:spacing w:after="0" w:line="150" w:lineRule="exact"/>
        <w:rPr>
          <w:rFonts w:ascii="Arial" w:cs="Arial" w:eastAsia="Arial" w:hAnsi="Arial"/>
          <w:sz w:val="17"/>
          <w:szCs w:val="17"/>
          <w:color w:val="auto"/>
        </w:rPr>
      </w:pPr>
    </w:p>
    <w:p>
      <w:pPr>
        <w:ind w:left="460" w:hanging="246"/>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amount of the registration fee pursuant to Rule 457(o)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lowerRoman"/>
      <w:start w:val="10"/>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amp;"/>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2">
    <w:nsid w:val="B03E0C6"/>
    <w:multiLevelType w:val="hybridMultilevel"/>
    <w:lvl w:ilvl="0">
      <w:lvlJc w:val="left"/>
      <w:lvlText w:val="(%1)"/>
      <w:numFmt w:val="lowerRoman"/>
      <w:start w:val="3"/>
    </w:lvl>
  </w:abstractNum>
  <w:abstractNum w:abstractNumId="23">
    <w:nsid w:val="189A769B"/>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24">
    <w:nsid w:val="54E49EB4"/>
    <w:multiLevelType w:val="hybridMultilevel"/>
    <w:lvl w:ilvl="0">
      <w:lvlJc w:val="left"/>
      <w:lvlText w:val="(%1)"/>
      <w:numFmt w:val="decimal"/>
      <w:start w:val="6"/>
    </w:lvl>
  </w:abstractNum>
  <w:abstractNum w:abstractNumId="25">
    <w:nsid w:val="71F32454"/>
    <w:multiLevelType w:val="hybridMultilevel"/>
    <w:lvl w:ilvl="0">
      <w:lvlJc w:val="left"/>
      <w:lvlText w:val="%1"/>
      <w:numFmt w:val="lowerLetter"/>
      <w:start w:val="1"/>
    </w:lvl>
    <w:lvl w:ilvl="1">
      <w:lvlJc w:val="left"/>
      <w:lvlText w:val="(%2)"/>
      <w:numFmt w:val="lowerRoman"/>
      <w:start w:val="1"/>
    </w:lvl>
  </w:abstractNum>
  <w:abstractNum w:abstractNumId="26">
    <w:nsid w:val="2CA88611"/>
    <w:multiLevelType w:val="hybridMultilevel"/>
    <w:lvl w:ilvl="0">
      <w:lvlJc w:val="left"/>
      <w:lvlText w:val="(%1)"/>
      <w:numFmt w:val="lowerLetter"/>
      <w:start w:val="2"/>
    </w:lvl>
    <w:lvl w:ilvl="1">
      <w:lvlJc w:val="left"/>
      <w:lvlText w:val="%2"/>
      <w:numFmt w:val="lowerRoman"/>
      <w:start w:val="1"/>
    </w:lvl>
  </w:abstractNum>
  <w:abstractNum w:abstractNumId="27">
    <w:nsid w:val="836C40E"/>
    <w:multiLevelType w:val="hybridMultilevel"/>
    <w:lvl w:ilvl="0">
      <w:lvlJc w:val="left"/>
      <w:lvlText w:val="(%1)"/>
      <w:numFmt w:val="lowerRoman"/>
      <w:start w:val="2"/>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jpeg"/><Relationship Id="rId51" Type="http://schemas.openxmlformats.org/officeDocument/2006/relationships/image" Target="media/image36.png"/><Relationship Id="rId52" Type="http://schemas.openxmlformats.org/officeDocument/2006/relationships/image" Target="media/image37.png"/><Relationship Id="rId37" Type="http://schemas.openxmlformats.org/officeDocument/2006/relationships/hyperlink" Target="http://www.sec.gov/ix?doc=/Archives/edgar/data/0001874315/000187431526000013/satl-20251231.htm" TargetMode="External"/><Relationship Id="rId38" Type="http://schemas.openxmlformats.org/officeDocument/2006/relationships/hyperlink" Target="http://www.sec.gov/Archives/edgar/data/1874315/000187431526000003/satl-20260112.htm" TargetMode="External"/><Relationship Id="rId39" Type="http://schemas.openxmlformats.org/officeDocument/2006/relationships/hyperlink" Target="http://www.sec.gov/Archives/edgar/data/1874315/000143774926002213/satl20260126_8k.htm" TargetMode="External"/><Relationship Id="rId40" Type="http://schemas.openxmlformats.org/officeDocument/2006/relationships/hyperlink" Target="http://www.sec.gov/Archives/edgar/data/1874315/000187431526000006/satl-20260306.htm" TargetMode="External"/><Relationship Id="rId41" Type="http://schemas.openxmlformats.org/officeDocument/2006/relationships/hyperlink" Target="http://www.sec.gov/Archives/edgar/data/1874315/000143774925009268/satl20250321_8a12b.htm" TargetMode="External"/><Relationship Id="rId44" Type="http://schemas.openxmlformats.org/officeDocument/2006/relationships/hyperlink" Target="http://www.sec.gov/Archives/edgar/data/1874315/000143774925009269/ex_793454.htm" TargetMode="External"/><Relationship Id="rId45" Type="http://schemas.openxmlformats.org/officeDocument/2006/relationships/hyperlink" Target="http://www.sec.gov/Archives/edgar/data/1874315/000143774925009269/ex_793455.htm" TargetMode="External"/><Relationship Id="rId46" Type="http://schemas.openxmlformats.org/officeDocument/2006/relationships/hyperlink" Target="http://www.sec.gov/Archives/edgar/data/1874315/000143774925009269/ex_7934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2026-03-19T16:47:22Z</dcterms:created>
  <dcterms:modified xsi:type="dcterms:W3CDTF">2026-03-19T16:47:22Z</dcterms:modified>
</cp:coreProperties>
</file>