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1813810.xml.htm"/>
      <w:bookmarkStart w:id="1" w:name="kswkform3_178181381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Williamson Michael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Satellogic Inc.</w:t>
              </w:r>
            </w:hyperlink>
            <w:r>
              <w:rPr/>
              <w:t xml:space="preserve"> [ </w:t>
            </w:r>
            <w:r>
              <w:rPr>
                <w:rFonts w:ascii="Times;serif" w:hAnsi="Times;serif"/>
                <w:color w:val="0000FF"/>
                <w:sz w:val="24"/>
                <w:shd w:fill="FFFFFF" w:val="clear"/>
              </w:rPr>
              <w:t>SATL</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20,787</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11, 2026, Mr. Williamson was granted 20,787 RSUs, all of which will vest on May 31, 2027 subject to Mr. Williamson's continued service through such date. Grantee elected to defer receipt of shares until May 31,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Michael Williamson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formidwilliamson2.htm"/>
      <w:bookmarkStart w:id="3" w:name="kspoaformidwilliamson2"/>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June 5, 2026 KNOW ALL MEN BY THESE PRESENTS, that the undersigned hereby constitutes and appoints Noah Benz, Matthew Erb and Jaye Lynn Wright, and each of them individually, as its true and lawful attorney-in-fact to: (1) execute for and on behalf of the undersigned, in any or all of the undersigned’s capacities, any and all forms, schedules, statements and other documents which the undersigned is required to file with the U.S. Securities and Exchange Commission (the “SEC”), including (without limitation) the Form ID, Form D or Update Passphrase request required to be filed by the undersigned to obtain access codes to effect SEC filing on the SEC electronic systems for securities filings (EDGAR); (2) do and perform any and all acts for and on behalf of the undersigned which may be necessary or desirable to complete and execute any such Form ID, Form D or Update Passphrase request and timely file such report with the SEC and any stock exchange or similar authority; (3) serve as Account Administrator to manage the undersigned’s EDGAR account, and grants such persons all requisite authority in connection therewith; (4) be the point of contact in connection with EDGAR Update Passphrase requests; and (5)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 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any of the undersigned’s responsibilities to comply with Section 13 and Section 16 of the Securities Exchange Act of 1934 and the rules thereunder, as amended. This Power of Attorney shall remain in full force and effect until revoked by the undersigned in a signed writing delivered to the foregoing attorneys-in-fact. Docusign Envelope ID: BC7DDADC-06CC-8F4D-8210-E22A56B63DA4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the date first written above. Michael E. Williamson By: ______________________________ WITNESS my hand and official Seal. [SEAL] Signature of Notary Public Docusign Envelope ID: BC7DDADC-06CC-8F4D-8210-E22A56B63DA4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1269" TargetMode="External"/><Relationship Id="rId3" Type="http://schemas.openxmlformats.org/officeDocument/2006/relationships/hyperlink" Target="http://www.sec.gov/cgi-bin/browse-edgar?action=getcompany&amp;CIK=00018743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942</Words>
  <Characters>5069</Characters>
  <CharactersWithSpaces>5970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poa-formidwilliamson2</dc:title>
</cp:coreProperties>
</file>