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4" w:lineRule="exact"/>
        <w:rPr>
          <w:sz w:val="24"/>
          <w:szCs w:val="24"/>
          <w:color w:val="auto"/>
        </w:rPr>
      </w:pPr>
    </w:p>
    <w:p>
      <w:pPr>
        <w:ind w:left="3760" w:right="1760" w:hanging="3752"/>
        <w:spacing w:after="0" w:line="266" w:lineRule="auto"/>
        <w:tabs>
          <w:tab w:leader="none" w:pos="32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72" w:lineRule="exact"/>
        <w:rPr>
          <w:sz w:val="24"/>
          <w:szCs w:val="24"/>
          <w:color w:val="auto"/>
        </w:rPr>
      </w:pPr>
    </w:p>
    <w:p>
      <w:pPr>
        <w:ind w:left="3320" w:right="1740" w:hanging="3312"/>
        <w:spacing w:after="0" w:line="263" w:lineRule="auto"/>
        <w:tabs>
          <w:tab w:leader="none" w:pos="32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4020" w:type="dxa"/>
            <w:vAlign w:val="bottom"/>
            <w:gridSpan w:val="5"/>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98-1845974</w:t>
            </w:r>
          </w:p>
        </w:tc>
      </w:tr>
      <w:tr>
        <w:trPr>
          <w:trHeight w:val="216"/>
        </w:trPr>
        <w:tc>
          <w:tcPr>
            <w:tcW w:w="65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c>
          <w:tcPr>
            <w:tcW w:w="4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16"/>
        </w:trPr>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210 Delburg Street</w:t>
            </w:r>
          </w:p>
        </w:tc>
        <w:tc>
          <w:tcPr>
            <w:tcW w:w="4700" w:type="dxa"/>
            <w:vAlign w:val="bottom"/>
          </w:tcPr>
          <w:p>
            <w:pPr>
              <w:spacing w:after="0"/>
              <w:rPr>
                <w:sz w:val="18"/>
                <w:szCs w:val="18"/>
                <w:color w:val="auto"/>
              </w:rPr>
            </w:pPr>
          </w:p>
        </w:tc>
      </w:tr>
      <w:tr>
        <w:trPr>
          <w:trHeight w:val="220"/>
        </w:trPr>
        <w:tc>
          <w:tcPr>
            <w:tcW w:w="25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Davidson,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470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28036</w:t>
            </w:r>
          </w:p>
        </w:tc>
      </w:tr>
      <w:tr>
        <w:trPr>
          <w:trHeight w:val="212"/>
        </w:trPr>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0" w:type="dxa"/>
            <w:vAlign w:val="bottom"/>
            <w:gridSpan w:val="4"/>
          </w:tcPr>
          <w:p>
            <w:pPr>
              <w:jc w:val="center"/>
              <w:ind w:right="29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216"/>
        </w:trPr>
        <w:tc>
          <w:tcPr>
            <w:tcW w:w="654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(704) 802-2041</w:t>
            </w:r>
          </w:p>
        </w:tc>
      </w:tr>
      <w:tr>
        <w:trPr>
          <w:trHeight w:val="216"/>
        </w:trPr>
        <w:tc>
          <w:tcPr>
            <w:tcW w:w="2520" w:type="dxa"/>
            <w:vAlign w:val="bottom"/>
          </w:tcPr>
          <w:p>
            <w:pPr>
              <w:spacing w:after="0"/>
              <w:rPr>
                <w:sz w:val="18"/>
                <w:szCs w:val="18"/>
                <w:color w:val="auto"/>
              </w:rPr>
            </w:pPr>
          </w:p>
        </w:tc>
        <w:tc>
          <w:tcPr>
            <w:tcW w:w="8720" w:type="dxa"/>
            <w:vAlign w:val="bottom"/>
            <w:gridSpan w:val="6"/>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w w:val="99"/>
              </w:rPr>
              <w:t>Securities registered or to be registered pursuant to Section 12(b) of the Act:</w:t>
            </w:r>
          </w:p>
        </w:tc>
      </w:tr>
      <w:tr>
        <w:trPr>
          <w:trHeight w:val="238"/>
        </w:trPr>
        <w:tc>
          <w:tcPr>
            <w:tcW w:w="25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2520" w:type="dxa"/>
            <w:vAlign w:val="bottom"/>
            <w:tcBorders>
              <w:top w:val="single" w:sz="8" w:color="auto"/>
            </w:tcBorders>
          </w:tcPr>
          <w:p>
            <w:pPr>
              <w:jc w:val="center"/>
              <w:ind w:left="350"/>
              <w:spacing w:after="0" w:line="191"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SATL</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700" w:type="dxa"/>
            <w:vAlign w:val="bottom"/>
            <w:tcBorders>
              <w:top w:val="single" w:sz="8" w:color="auto"/>
            </w:tcBorders>
          </w:tcPr>
          <w:p>
            <w:pPr>
              <w:jc w:val="center"/>
              <w:ind w:right="890"/>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25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Warrants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3"/>
              </w:rPr>
              <w:t>SATLW</w:t>
            </w:r>
          </w:p>
        </w:tc>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29"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320"/>
              <w:spacing w:after="0" w:line="162" w:lineRule="exact"/>
              <w:rPr>
                <w:sz w:val="20"/>
                <w:szCs w:val="20"/>
                <w:color w:val="auto"/>
              </w:rPr>
            </w:pPr>
            <w:r>
              <w:rPr>
                <w:rFonts w:ascii="Wingdings" w:cs="Wingdings" w:eastAsia="Wingdings" w:hAnsi="Wingdings"/>
                <w:sz w:val="18"/>
                <w:szCs w:val="18"/>
                <w:b w:val="1"/>
                <w:bCs w:val="1"/>
                <w:color w:val="auto"/>
              </w:rPr>
              <w:t>o</w:t>
            </w:r>
          </w:p>
        </w:tc>
        <w:tc>
          <w:tcPr>
            <w:tcW w:w="4180" w:type="dxa"/>
            <w:vAlign w:val="bottom"/>
          </w:tcPr>
          <w:p>
            <w:pPr>
              <w:ind w:left="600"/>
              <w:spacing w:after="0" w:line="163" w:lineRule="exact"/>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62" w:lineRule="exact"/>
              <w:rPr>
                <w:sz w:val="20"/>
                <w:szCs w:val="20"/>
                <w:color w:val="auto"/>
              </w:rPr>
            </w:pPr>
            <w:r>
              <w:rPr>
                <w:rFonts w:ascii="Wingdings" w:cs="Wingdings" w:eastAsia="Wingdings" w:hAnsi="Wingdings"/>
                <w:sz w:val="18"/>
                <w:szCs w:val="18"/>
                <w:b w:val="1"/>
                <w:bCs w:val="1"/>
                <w:color w:val="auto"/>
                <w:w w:val="86"/>
              </w:rPr>
              <w:t>o</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4, 2026, there were 137,661,456 shares of Class A common stock and 10,582,641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Satellogic Inc. is filing this Amendment No. 1 to its Quarterly Report on Form 10-Q for the period ended March 31, 2026 as an exhibit only filing solely to re-file Exhibits 31.1 and 31.2 to include a portion of the text required in paragraph 4 of the Section 302 certifications, which was inadvertently omitted from the Section 302 certifications included with the original Form 10-Q filed with the Securities and Exchange Commission on May 12, 2026. This Amendment No. 1 to Form 10-Q does not reflect events occurring after the filing of the original Form 10-Q and, other than the re-filing of the referenced certifications, does not modify or update the disclosures in the original Form 10-Q in any way.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38"/>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0" w:type="dxa"/>
            <w:vAlign w:val="bottom"/>
          </w:tcPr>
          <w:p>
            <w:pPr>
              <w:spacing w:after="0"/>
              <w:rPr>
                <w:sz w:val="20"/>
                <w:szCs w:val="20"/>
                <w:color w:val="auto"/>
              </w:rPr>
            </w:pPr>
          </w:p>
        </w:tc>
        <w:tc>
          <w:tcPr>
            <w:tcW w:w="10340" w:type="dxa"/>
            <w:vAlign w:val="bottom"/>
            <w:tcBorders>
              <w:bottom w:val="single" w:sz="8" w:color="auto"/>
            </w:tcBorders>
            <w:gridSpan w:val="3"/>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7"/>
                <w:szCs w:val="17"/>
                <w:color w:val="auto"/>
              </w:rPr>
            </w:pPr>
          </w:p>
        </w:tc>
        <w:tc>
          <w:tcPr>
            <w:tcW w:w="7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312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7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7"/>
          <w:szCs w:val="17"/>
          <w:color w:val="auto"/>
        </w:rPr>
        <w:t>SATELLOGIC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Rick Dunn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11180"/>
          </w:cols>
          <w:pgMar w:left="320" w:top="576"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Emiliano Kargieman, certify that:</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7" w:lineRule="exact"/>
        <w:rPr>
          <w:rFonts w:ascii="Times New Roman" w:cs="Times New Roman" w:eastAsia="Times New Roman" w:hAnsi="Times New Roman"/>
          <w:sz w:val="18"/>
          <w:szCs w:val="18"/>
          <w:color w:val="auto"/>
        </w:rPr>
      </w:pPr>
    </w:p>
    <w:p>
      <w:pPr>
        <w:ind w:left="66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4"/>
        <w:spacing w:after="0" w:line="282" w:lineRule="auto"/>
        <w:tabs>
          <w:tab w:leader="none" w:pos="126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500" w:hanging="4"/>
        <w:spacing w:after="0" w:line="282" w:lineRule="auto"/>
        <w:tabs>
          <w:tab w:leader="none" w:pos="12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6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Signature: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Emiliano Kargieman</w:t>
            </w:r>
          </w:p>
        </w:tc>
      </w:tr>
      <w:tr>
        <w:trPr>
          <w:trHeight w:val="191"/>
        </w:trPr>
        <w:tc>
          <w:tcPr>
            <w:tcW w:w="28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Emiliano Kargieman</w:t>
            </w:r>
          </w:p>
        </w:tc>
      </w:tr>
      <w:tr>
        <w:trPr>
          <w:trHeight w:val="234"/>
        </w:trPr>
        <w:tc>
          <w:tcPr>
            <w:tcW w:w="28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Rick Dunn,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60" w:hanging="4"/>
        <w:spacing w:after="0" w:line="266" w:lineRule="auto"/>
        <w:tabs>
          <w:tab w:leader="none" w:pos="13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40" w:hanging="4"/>
        <w:spacing w:after="0" w:line="282"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5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Signature:</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Rick Dunn</w:t>
            </w:r>
          </w:p>
        </w:tc>
      </w:tr>
      <w:tr>
        <w:trPr>
          <w:trHeight w:val="191"/>
        </w:trPr>
        <w:tc>
          <w:tcPr>
            <w:tcW w:w="28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Rick Dunn</w:t>
            </w:r>
          </w:p>
        </w:tc>
      </w:tr>
      <w:tr>
        <w:trPr>
          <w:trHeight w:val="234"/>
        </w:trPr>
        <w:tc>
          <w:tcPr>
            <w:tcW w:w="28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2026-06-17T15:21:39Z</dcterms:created>
  <dcterms:modified xsi:type="dcterms:W3CDTF">2026-06-17T15:21:39Z</dcterms:modified>
</cp:coreProperties>
</file>